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19"/>
          <w:szCs w:val="19"/>
        </w:rPr>
      </w:pPr>
    </w:p>
    <w:p w:rsidR="00782339" w:rsidRPr="000A1B63" w:rsidRDefault="00782339" w:rsidP="00782339">
      <w:pPr>
        <w:rPr>
          <w:rFonts w:asciiTheme="minorHAnsi" w:hAnsiTheme="minorHAnsi" w:cstheme="minorHAnsi"/>
          <w:color w:val="003399"/>
          <w:sz w:val="27"/>
          <w:szCs w:val="27"/>
        </w:rPr>
      </w:pPr>
    </w:p>
    <w:p w:rsidR="00782339" w:rsidRPr="000A1B63" w:rsidRDefault="00782339" w:rsidP="00782339">
      <w:pPr>
        <w:rPr>
          <w:rFonts w:asciiTheme="minorHAnsi" w:hAnsiTheme="minorHAnsi" w:cstheme="minorHAnsi"/>
          <w:b/>
          <w:color w:val="003399"/>
          <w:sz w:val="27"/>
          <w:szCs w:val="27"/>
        </w:rPr>
      </w:pPr>
      <w:r w:rsidRPr="000A1B63">
        <w:rPr>
          <w:rFonts w:asciiTheme="minorHAnsi" w:hAnsiTheme="minorHAnsi" w:cstheme="minorHAnsi"/>
          <w:b/>
          <w:color w:val="003399"/>
          <w:sz w:val="27"/>
          <w:szCs w:val="27"/>
        </w:rPr>
        <w:t>WORD PROCESSOR POLICY (Exams)</w:t>
      </w:r>
    </w:p>
    <w:p w:rsidR="00782339" w:rsidRPr="000A1B63" w:rsidRDefault="00782339" w:rsidP="00782339">
      <w:pPr>
        <w:rPr>
          <w:rFonts w:asciiTheme="minorHAnsi" w:hAnsiTheme="minorHAnsi" w:cstheme="minorHAnsi"/>
          <w:b/>
          <w:color w:val="003399"/>
          <w:sz w:val="27"/>
          <w:szCs w:val="27"/>
        </w:rPr>
      </w:pPr>
      <w:r w:rsidRPr="000A1B63">
        <w:rPr>
          <w:rFonts w:asciiTheme="minorHAnsi" w:hAnsiTheme="minorHAnsi" w:cstheme="minorHAnsi"/>
          <w:b/>
          <w:color w:val="003399"/>
          <w:sz w:val="27"/>
          <w:szCs w:val="27"/>
        </w:rPr>
        <w:t>2022/23</w:t>
      </w: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rsidR="00782339" w:rsidRPr="000A1B63" w:rsidRDefault="00782339" w:rsidP="00782339">
      <w:pPr>
        <w:spacing w:line="276" w:lineRule="auto"/>
        <w:rPr>
          <w:rFonts w:asciiTheme="minorHAnsi" w:hAnsiTheme="minorHAnsi" w:cstheme="minorHAnsi"/>
          <w:sz w:val="19"/>
          <w:szCs w:val="19"/>
        </w:rPr>
      </w:pPr>
      <w:r w:rsidRPr="000A1B63">
        <w:rPr>
          <w:rFonts w:asciiTheme="minorHAnsi" w:hAnsiTheme="minorHAnsi" w:cstheme="minorHAnsi"/>
          <w:sz w:val="19"/>
          <w:szCs w:val="19"/>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782339" w:rsidRPr="000A1B63" w:rsidTr="00DB5903">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82339" w:rsidRPr="000A1B63" w:rsidRDefault="00782339" w:rsidP="00DB5903">
            <w:pPr>
              <w:spacing w:line="276" w:lineRule="auto"/>
              <w:rPr>
                <w:rFonts w:asciiTheme="minorHAnsi" w:hAnsiTheme="minorHAnsi" w:cstheme="minorHAnsi"/>
                <w:sz w:val="19"/>
                <w:szCs w:val="19"/>
              </w:rPr>
            </w:pPr>
            <w:bookmarkStart w:id="0" w:name="_Toc490256598"/>
            <w:r w:rsidRPr="000A1B63">
              <w:rPr>
                <w:rFonts w:asciiTheme="minorHAnsi" w:hAnsiTheme="minorHAnsi" w:cstheme="minorHAnsi"/>
                <w:sz w:val="19"/>
                <w:szCs w:val="19"/>
              </w:rPr>
              <w:t>Approved/reviewed by</w:t>
            </w:r>
          </w:p>
        </w:tc>
      </w:tr>
      <w:tr w:rsidR="00782339" w:rsidRPr="000A1B63" w:rsidTr="00DB5903">
        <w:tc>
          <w:tcPr>
            <w:tcW w:w="3969" w:type="dxa"/>
            <w:gridSpan w:val="2"/>
            <w:tcBorders>
              <w:top w:val="single" w:sz="8" w:space="0" w:color="auto"/>
              <w:left w:val="single" w:sz="8" w:space="0" w:color="auto"/>
              <w:bottom w:val="single" w:sz="8" w:space="0" w:color="auto"/>
              <w:right w:val="single" w:sz="8" w:space="0" w:color="auto"/>
            </w:tcBorders>
            <w:vAlign w:val="center"/>
          </w:tcPr>
          <w:p w:rsidR="00782339" w:rsidRPr="000A1B63" w:rsidRDefault="000A1B63" w:rsidP="00DB5903">
            <w:pPr>
              <w:spacing w:line="276" w:lineRule="auto"/>
              <w:jc w:val="both"/>
              <w:rPr>
                <w:rFonts w:asciiTheme="minorHAnsi" w:hAnsiTheme="minorHAnsi" w:cstheme="minorHAnsi"/>
                <w:sz w:val="19"/>
                <w:szCs w:val="19"/>
              </w:rPr>
            </w:pPr>
            <w:r>
              <w:rPr>
                <w:rFonts w:asciiTheme="minorHAnsi" w:hAnsiTheme="minorHAnsi" w:cstheme="minorHAnsi"/>
                <w:sz w:val="19"/>
                <w:szCs w:val="19"/>
              </w:rPr>
              <w:t>Krys McAvan</w:t>
            </w:r>
          </w:p>
        </w:tc>
      </w:tr>
      <w:tr w:rsidR="00782339" w:rsidRPr="000A1B63" w:rsidTr="00DB5903">
        <w:tc>
          <w:tcPr>
            <w:tcW w:w="21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82339" w:rsidRPr="000A1B63" w:rsidRDefault="00782339" w:rsidP="00DB5903">
            <w:pPr>
              <w:spacing w:line="276" w:lineRule="auto"/>
              <w:ind w:left="37" w:hanging="37"/>
              <w:rPr>
                <w:rFonts w:asciiTheme="minorHAnsi" w:hAnsiTheme="minorHAnsi" w:cstheme="minorHAnsi"/>
                <w:sz w:val="19"/>
                <w:szCs w:val="19"/>
              </w:rPr>
            </w:pPr>
            <w:r w:rsidRPr="000A1B63">
              <w:rPr>
                <w:rFonts w:asciiTheme="minorHAnsi" w:hAnsiTheme="minorHAnsi" w:cstheme="minorHAnsi"/>
                <w:sz w:val="19"/>
                <w:szCs w:val="19"/>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rsidR="00782339" w:rsidRPr="000A1B63" w:rsidRDefault="000A1B63" w:rsidP="00DB5903">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2023</w:t>
            </w:r>
          </w:p>
        </w:tc>
      </w:tr>
    </w:tbl>
    <w:p w:rsidR="00782339" w:rsidRPr="000A1B63" w:rsidRDefault="00782339" w:rsidP="00782339">
      <w:pPr>
        <w:pStyle w:val="Headinglevel1"/>
        <w:spacing w:before="240" w:line="276" w:lineRule="auto"/>
        <w:rPr>
          <w:rFonts w:asciiTheme="minorHAnsi" w:hAnsiTheme="minorHAnsi" w:cstheme="minorHAnsi"/>
          <w:sz w:val="19"/>
          <w:szCs w:val="19"/>
        </w:rPr>
      </w:pPr>
    </w:p>
    <w:p w:rsidR="00782339" w:rsidRPr="000A1B63" w:rsidRDefault="00782339" w:rsidP="00782339">
      <w:pPr>
        <w:tabs>
          <w:tab w:val="left" w:pos="4290"/>
        </w:tabs>
        <w:spacing w:after="200" w:line="276" w:lineRule="auto"/>
        <w:rPr>
          <w:rFonts w:asciiTheme="minorHAnsi" w:eastAsia="Times New Roman" w:hAnsiTheme="minorHAnsi" w:cstheme="minorHAnsi"/>
          <w:b/>
          <w:color w:val="003399"/>
          <w:sz w:val="19"/>
          <w:szCs w:val="19"/>
        </w:rPr>
      </w:pPr>
      <w:r w:rsidRPr="000A1B63">
        <w:rPr>
          <w:rFonts w:asciiTheme="minorHAnsi" w:hAnsiTheme="minorHAnsi" w:cstheme="minorHAnsi"/>
          <w:sz w:val="19"/>
          <w:szCs w:val="19"/>
        </w:rPr>
        <w:br w:type="page"/>
      </w:r>
      <w:r w:rsidRPr="000A1B63">
        <w:rPr>
          <w:rFonts w:asciiTheme="minorHAnsi" w:hAnsiTheme="minorHAnsi" w:cstheme="minorHAnsi"/>
          <w:sz w:val="19"/>
          <w:szCs w:val="19"/>
        </w:rPr>
        <w:lastRenderedPageBreak/>
        <w:tab/>
      </w:r>
    </w:p>
    <w:p w:rsidR="00782339" w:rsidRPr="00CF34C5" w:rsidRDefault="00782339" w:rsidP="00782339">
      <w:pPr>
        <w:pStyle w:val="Headinglevel1"/>
        <w:spacing w:before="240" w:line="276" w:lineRule="auto"/>
        <w:rPr>
          <w:rFonts w:asciiTheme="minorHAnsi" w:hAnsiTheme="minorHAnsi" w:cstheme="minorHAnsi"/>
          <w:sz w:val="23"/>
          <w:szCs w:val="23"/>
        </w:rPr>
      </w:pPr>
      <w:bookmarkStart w:id="1" w:name="_Toc112616562"/>
      <w:r w:rsidRPr="00CF34C5">
        <w:rPr>
          <w:rFonts w:asciiTheme="minorHAnsi" w:hAnsiTheme="minorHAnsi" w:cstheme="minorHAnsi"/>
          <w:sz w:val="23"/>
          <w:szCs w:val="23"/>
        </w:rPr>
        <w:t xml:space="preserve">Key staff involved in </w:t>
      </w:r>
      <w:bookmarkEnd w:id="0"/>
      <w:r w:rsidRPr="00CF34C5">
        <w:rPr>
          <w:rFonts w:asciiTheme="minorHAnsi" w:hAnsiTheme="minorHAnsi" w:cstheme="minorHAnsi"/>
          <w:sz w:val="23"/>
          <w:szCs w:val="23"/>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9"/>
        <w:gridCol w:w="8243"/>
      </w:tblGrid>
      <w:tr w:rsidR="00782339" w:rsidRPr="000A1B63" w:rsidTr="00CF34C5">
        <w:tc>
          <w:tcPr>
            <w:tcW w:w="1789" w:type="dxa"/>
            <w:shd w:val="clear" w:color="auto" w:fill="C6D9F1" w:themeFill="text2" w:themeFillTint="33"/>
          </w:tcPr>
          <w:p w:rsidR="00782339" w:rsidRPr="000A1B63" w:rsidRDefault="00782339" w:rsidP="00DB5903">
            <w:pPr>
              <w:rPr>
                <w:rFonts w:asciiTheme="minorHAnsi" w:hAnsiTheme="minorHAnsi" w:cstheme="minorHAnsi"/>
                <w:bCs/>
                <w:sz w:val="19"/>
                <w:szCs w:val="19"/>
              </w:rPr>
            </w:pPr>
            <w:bookmarkStart w:id="2" w:name="_Hlk16682222"/>
            <w:r w:rsidRPr="000A1B63">
              <w:rPr>
                <w:rFonts w:asciiTheme="minorHAnsi" w:hAnsiTheme="minorHAnsi" w:cstheme="minorHAnsi"/>
                <w:bCs/>
                <w:sz w:val="19"/>
                <w:szCs w:val="19"/>
              </w:rPr>
              <w:t>Role</w:t>
            </w:r>
          </w:p>
        </w:tc>
        <w:tc>
          <w:tcPr>
            <w:tcW w:w="8243" w:type="dxa"/>
            <w:shd w:val="clear" w:color="auto" w:fill="C6D9F1" w:themeFill="text2" w:themeFillTint="33"/>
          </w:tcPr>
          <w:p w:rsidR="00782339" w:rsidRPr="000A1B63" w:rsidRDefault="00782339" w:rsidP="00DB5903">
            <w:pPr>
              <w:rPr>
                <w:rFonts w:asciiTheme="minorHAnsi" w:hAnsiTheme="minorHAnsi" w:cstheme="minorHAnsi"/>
                <w:bCs/>
                <w:sz w:val="19"/>
                <w:szCs w:val="19"/>
              </w:rPr>
            </w:pPr>
            <w:r w:rsidRPr="000A1B63">
              <w:rPr>
                <w:rFonts w:asciiTheme="minorHAnsi" w:hAnsiTheme="minorHAnsi" w:cstheme="minorHAnsi"/>
                <w:bCs/>
                <w:sz w:val="19"/>
                <w:szCs w:val="19"/>
              </w:rPr>
              <w:t>Name(s)</w:t>
            </w:r>
          </w:p>
        </w:tc>
      </w:tr>
      <w:tr w:rsidR="00782339" w:rsidRPr="000A1B63" w:rsidTr="00CF34C5">
        <w:tc>
          <w:tcPr>
            <w:tcW w:w="1789"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ALS lead/SENCo</w:t>
            </w:r>
          </w:p>
        </w:tc>
        <w:tc>
          <w:tcPr>
            <w:tcW w:w="8243"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Sarah Foltier</w:t>
            </w:r>
          </w:p>
        </w:tc>
      </w:tr>
      <w:tr w:rsidR="00782339" w:rsidRPr="000A1B63" w:rsidTr="00CF34C5">
        <w:tc>
          <w:tcPr>
            <w:tcW w:w="1789"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Exams officer</w:t>
            </w:r>
          </w:p>
        </w:tc>
        <w:tc>
          <w:tcPr>
            <w:tcW w:w="8243"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Hayley Crossland</w:t>
            </w:r>
          </w:p>
        </w:tc>
      </w:tr>
      <w:tr w:rsidR="00782339" w:rsidRPr="000A1B63" w:rsidTr="00CF34C5">
        <w:tc>
          <w:tcPr>
            <w:tcW w:w="1789"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Senior leader(s)</w:t>
            </w:r>
          </w:p>
        </w:tc>
        <w:tc>
          <w:tcPr>
            <w:tcW w:w="8243"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Jo Orton, Krys Mcavan</w:t>
            </w:r>
          </w:p>
        </w:tc>
      </w:tr>
      <w:tr w:rsidR="00782339" w:rsidRPr="000A1B63" w:rsidTr="00CF34C5">
        <w:tc>
          <w:tcPr>
            <w:tcW w:w="1789"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IT manager</w:t>
            </w:r>
          </w:p>
        </w:tc>
        <w:tc>
          <w:tcPr>
            <w:tcW w:w="8243" w:type="dxa"/>
          </w:tcPr>
          <w:p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Terry Jackman</w:t>
            </w:r>
          </w:p>
        </w:tc>
      </w:tr>
      <w:bookmarkEnd w:id="2"/>
    </w:tbl>
    <w:p w:rsidR="00782339" w:rsidRPr="000A1B63" w:rsidRDefault="00782339" w:rsidP="00782339">
      <w:pPr>
        <w:rPr>
          <w:rFonts w:asciiTheme="minorHAnsi" w:hAnsiTheme="minorHAnsi" w:cstheme="minorHAnsi"/>
          <w:sz w:val="19"/>
          <w:szCs w:val="19"/>
        </w:rPr>
      </w:pPr>
    </w:p>
    <w:p w:rsidR="00782339" w:rsidRPr="000A1B63" w:rsidRDefault="00782339" w:rsidP="00782339">
      <w:pPr>
        <w:spacing w:after="200" w:line="276" w:lineRule="auto"/>
        <w:rPr>
          <w:rFonts w:asciiTheme="minorHAnsi" w:hAnsiTheme="minorHAnsi" w:cstheme="minorHAnsi"/>
          <w:sz w:val="19"/>
          <w:szCs w:val="19"/>
        </w:rPr>
      </w:pPr>
      <w:r w:rsidRPr="000A1B63">
        <w:rPr>
          <w:rFonts w:asciiTheme="minorHAnsi" w:hAnsiTheme="minorHAnsi" w:cstheme="minorHAnsi"/>
          <w:noProof/>
          <w:sz w:val="19"/>
          <w:szCs w:val="19"/>
        </w:rPr>
        <mc:AlternateContent>
          <mc:Choice Requires="wps">
            <w:drawing>
              <wp:anchor distT="0" distB="0" distL="114300" distR="114300" simplePos="0" relativeHeight="251659264" behindDoc="0" locked="0" layoutInCell="1" allowOverlap="1" wp14:anchorId="67B1C2A1" wp14:editId="298477ED">
                <wp:simplePos x="0" y="0"/>
                <wp:positionH relativeFrom="margin">
                  <wp:posOffset>704850</wp:posOffset>
                </wp:positionH>
                <wp:positionV relativeFrom="paragraph">
                  <wp:posOffset>7757795</wp:posOffset>
                </wp:positionV>
                <wp:extent cx="5391150" cy="2355850"/>
                <wp:effectExtent l="9525" t="15875" r="28575" b="381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782339" w:rsidRPr="00823853" w:rsidRDefault="00782339" w:rsidP="00782339">
                            <w:pPr>
                              <w:rPr>
                                <w:rFonts w:asciiTheme="minorHAnsi" w:hAnsiTheme="minorHAnsi" w:cs="Arial"/>
                                <w:b/>
                                <w:sz w:val="18"/>
                                <w:szCs w:val="18"/>
                              </w:rPr>
                            </w:pPr>
                            <w:r>
                              <w:rPr>
                                <w:rFonts w:ascii="Rockwell Condensed" w:hAnsi="Rockwell Condensed"/>
                                <w:color w:val="003399"/>
                                <w:sz w:val="24"/>
                                <w:szCs w:val="24"/>
                                <w:u w:val="single"/>
                              </w:rPr>
                              <w:t>Table of contents</w:t>
                            </w:r>
                          </w:p>
                          <w:p w:rsidR="00782339" w:rsidRPr="00A90306" w:rsidRDefault="00782339" w:rsidP="00782339">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rsidR="00782339" w:rsidRPr="00B71DB8" w:rsidRDefault="00782339" w:rsidP="00782339">
                            <w:pPr>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rsidR="00782339" w:rsidRPr="00B71DB8" w:rsidRDefault="00782339" w:rsidP="00782339">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rsidR="00782339" w:rsidRPr="00B71DB8" w:rsidRDefault="00782339" w:rsidP="00782339">
                            <w:pPr>
                              <w:jc w:val="center"/>
                              <w:rPr>
                                <w:rFonts w:cs="Arial"/>
                                <w:sz w:val="18"/>
                                <w:szCs w:val="18"/>
                              </w:rPr>
                            </w:pPr>
                            <w:r w:rsidRPr="00B71DB8">
                              <w:rPr>
                                <w:noProof/>
                                <w:sz w:val="18"/>
                                <w:szCs w:val="18"/>
                              </w:rPr>
                              <w:t xml:space="preserve">  </w:t>
                            </w:r>
                            <w:r w:rsidRPr="00B71DB8">
                              <w:rPr>
                                <w:noProof/>
                              </w:rPr>
                              <w:drawing>
                                <wp:inline distT="0" distB="0" distL="0" distR="0" wp14:anchorId="439965A6" wp14:editId="6EDD7302">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40920E89" wp14:editId="3E446C85">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782339" w:rsidRPr="00823853" w:rsidRDefault="00782339" w:rsidP="00782339">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1C2A1" id="_x0000_t202" coordsize="21600,21600" o:spt="202" path="m,l,21600r21600,l21600,xe">
                <v:stroke joinstyle="miter"/>
                <v:path gradientshapeok="t" o:connecttype="rect"/>
              </v:shapetype>
              <v:shape id="Text Box 11" o:spid="_x0000_s1026" type="#_x0000_t202" style="position:absolute;margin-left:55.5pt;margin-top:610.85pt;width:424.5pt;height:1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" fillcolor="#dce6f2" strokecolor="#f30" strokeweight="1.5pt">
                <v:shadow on="t" color="white" opacity=".5" offset="1pt"/>
                <v:textbox>
                  <w:txbxContent>
                    <w:p w:rsidR="00782339" w:rsidRPr="00823853" w:rsidRDefault="00782339" w:rsidP="00782339">
                      <w:pPr>
                        <w:rPr>
                          <w:rFonts w:asciiTheme="minorHAnsi" w:hAnsiTheme="minorHAnsi" w:cs="Arial"/>
                          <w:b/>
                          <w:sz w:val="18"/>
                          <w:szCs w:val="18"/>
                        </w:rPr>
                      </w:pPr>
                      <w:r>
                        <w:rPr>
                          <w:rFonts w:ascii="Rockwell Condensed" w:hAnsi="Rockwell Condensed"/>
                          <w:color w:val="003399"/>
                          <w:sz w:val="24"/>
                          <w:szCs w:val="24"/>
                          <w:u w:val="single"/>
                        </w:rPr>
                        <w:t>Table of contents</w:t>
                      </w:r>
                    </w:p>
                    <w:p w:rsidR="00782339" w:rsidRPr="00A90306" w:rsidRDefault="00782339" w:rsidP="00782339">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rsidR="00782339" w:rsidRPr="00B71DB8" w:rsidRDefault="00782339" w:rsidP="00782339">
                      <w:pPr>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rsidR="00782339" w:rsidRPr="00B71DB8" w:rsidRDefault="00782339" w:rsidP="00782339">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rsidR="00782339" w:rsidRPr="00B71DB8" w:rsidRDefault="00782339" w:rsidP="00782339">
                      <w:pPr>
                        <w:jc w:val="center"/>
                        <w:rPr>
                          <w:rFonts w:cs="Arial"/>
                          <w:sz w:val="18"/>
                          <w:szCs w:val="18"/>
                        </w:rPr>
                      </w:pPr>
                      <w:r w:rsidRPr="00B71DB8">
                        <w:rPr>
                          <w:noProof/>
                          <w:sz w:val="18"/>
                          <w:szCs w:val="18"/>
                        </w:rPr>
                        <w:t xml:space="preserve">  </w:t>
                      </w:r>
                      <w:r w:rsidRPr="00B71DB8">
                        <w:rPr>
                          <w:noProof/>
                        </w:rPr>
                        <w:drawing>
                          <wp:inline distT="0" distB="0" distL="0" distR="0" wp14:anchorId="439965A6" wp14:editId="6EDD7302">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40920E89" wp14:editId="3E446C85">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782339" w:rsidRPr="00823853" w:rsidRDefault="00782339" w:rsidP="00782339">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0A1B63">
        <w:rPr>
          <w:rFonts w:asciiTheme="minorHAnsi" w:hAnsiTheme="minorHAnsi" w:cstheme="minorHAnsi"/>
          <w:sz w:val="19"/>
          <w:szCs w:val="19"/>
        </w:rPr>
        <w:br w:type="page"/>
      </w:r>
    </w:p>
    <w:sdt>
      <w:sdtPr>
        <w:rPr>
          <w:rFonts w:asciiTheme="minorHAnsi" w:eastAsiaTheme="minorEastAsia" w:hAnsiTheme="minorHAnsi" w:cstheme="minorHAnsi"/>
          <w:b w:val="0"/>
          <w:bCs w:val="0"/>
          <w:color w:val="auto"/>
          <w:sz w:val="19"/>
          <w:szCs w:val="19"/>
          <w:lang w:val="en-GB" w:eastAsia="en-GB"/>
        </w:rPr>
        <w:id w:val="1773747312"/>
        <w:docPartObj>
          <w:docPartGallery w:val="Table of Contents"/>
          <w:docPartUnique/>
        </w:docPartObj>
      </w:sdtPr>
      <w:sdtEndPr>
        <w:rPr>
          <w:noProof/>
        </w:rPr>
      </w:sdtEndPr>
      <w:sdtContent>
        <w:p w:rsidR="00782339" w:rsidRPr="00CF34C5" w:rsidRDefault="00782339" w:rsidP="00782339">
          <w:pPr>
            <w:pStyle w:val="TOCHeading"/>
            <w:rPr>
              <w:rFonts w:asciiTheme="minorHAnsi" w:eastAsia="Times New Roman" w:hAnsiTheme="minorHAnsi" w:cstheme="minorHAnsi"/>
              <w:bCs w:val="0"/>
              <w:color w:val="003399"/>
              <w:sz w:val="23"/>
              <w:szCs w:val="23"/>
              <w:lang w:val="en-GB" w:eastAsia="en-GB"/>
            </w:rPr>
          </w:pPr>
          <w:r w:rsidRPr="00CF34C5">
            <w:rPr>
              <w:rFonts w:asciiTheme="minorHAnsi" w:eastAsia="Times New Roman" w:hAnsiTheme="minorHAnsi" w:cstheme="minorHAnsi"/>
              <w:bCs w:val="0"/>
              <w:color w:val="003399"/>
              <w:sz w:val="23"/>
              <w:szCs w:val="23"/>
              <w:lang w:val="en-GB" w:eastAsia="en-GB"/>
            </w:rPr>
            <w:t>Contents</w:t>
          </w:r>
        </w:p>
        <w:p w:rsidR="00782339" w:rsidRPr="000A1B63" w:rsidRDefault="00782339" w:rsidP="00782339">
          <w:pPr>
            <w:pStyle w:val="TOC1"/>
            <w:tabs>
              <w:tab w:val="right" w:leader="dot" w:pos="10042"/>
            </w:tabs>
            <w:rPr>
              <w:rFonts w:asciiTheme="minorHAnsi" w:hAnsiTheme="minorHAnsi" w:cstheme="minorHAnsi"/>
              <w:noProof/>
              <w:sz w:val="19"/>
              <w:szCs w:val="19"/>
            </w:rPr>
          </w:pPr>
          <w:r w:rsidRPr="000A1B63">
            <w:rPr>
              <w:rFonts w:asciiTheme="minorHAnsi" w:hAnsiTheme="minorHAnsi" w:cstheme="minorHAnsi"/>
              <w:sz w:val="19"/>
              <w:szCs w:val="19"/>
            </w:rPr>
            <w:fldChar w:fldCharType="begin"/>
          </w:r>
          <w:r w:rsidRPr="000A1B63">
            <w:rPr>
              <w:rFonts w:asciiTheme="minorHAnsi" w:hAnsiTheme="minorHAnsi" w:cstheme="minorHAnsi"/>
              <w:sz w:val="19"/>
              <w:szCs w:val="19"/>
            </w:rPr>
            <w:instrText xml:space="preserve"> TOC \o "1-3" \h \z \u </w:instrText>
          </w:r>
          <w:r w:rsidRPr="000A1B63">
            <w:rPr>
              <w:rFonts w:asciiTheme="minorHAnsi" w:hAnsiTheme="minorHAnsi" w:cstheme="minorHAnsi"/>
              <w:sz w:val="19"/>
              <w:szCs w:val="19"/>
            </w:rPr>
            <w:fldChar w:fldCharType="separate"/>
          </w:r>
          <w:hyperlink w:anchor="_Toc112616562" w:history="1">
            <w:r w:rsidRPr="000A1B63">
              <w:rPr>
                <w:rStyle w:val="Hyperlink"/>
                <w:rFonts w:asciiTheme="minorHAnsi" w:hAnsiTheme="minorHAnsi" w:cstheme="minorHAnsi"/>
                <w:noProof/>
                <w:sz w:val="19"/>
                <w:szCs w:val="19"/>
              </w:rPr>
              <w:t>Key staff involved in the policy</w:t>
            </w:r>
            <w:r w:rsidRPr="000A1B63">
              <w:rPr>
                <w:rFonts w:asciiTheme="minorHAnsi" w:hAnsiTheme="minorHAnsi" w:cstheme="minorHAnsi"/>
                <w:noProof/>
                <w:webHidden/>
                <w:sz w:val="19"/>
                <w:szCs w:val="19"/>
              </w:rPr>
              <w:tab/>
            </w:r>
            <w:r w:rsidRPr="000A1B63">
              <w:rPr>
                <w:rFonts w:asciiTheme="minorHAnsi" w:hAnsiTheme="minorHAnsi" w:cstheme="minorHAnsi"/>
                <w:noProof/>
                <w:webHidden/>
                <w:sz w:val="19"/>
                <w:szCs w:val="19"/>
              </w:rPr>
              <w:fldChar w:fldCharType="begin"/>
            </w:r>
            <w:r w:rsidRPr="000A1B63">
              <w:rPr>
                <w:rFonts w:asciiTheme="minorHAnsi" w:hAnsiTheme="minorHAnsi" w:cstheme="minorHAnsi"/>
                <w:noProof/>
                <w:webHidden/>
                <w:sz w:val="19"/>
                <w:szCs w:val="19"/>
              </w:rPr>
              <w:instrText xml:space="preserve"> PAGEREF _Toc112616562 \h </w:instrText>
            </w:r>
            <w:r w:rsidRPr="000A1B63">
              <w:rPr>
                <w:rFonts w:asciiTheme="minorHAnsi" w:hAnsiTheme="minorHAnsi" w:cstheme="minorHAnsi"/>
                <w:noProof/>
                <w:webHidden/>
                <w:sz w:val="19"/>
                <w:szCs w:val="19"/>
              </w:rPr>
            </w:r>
            <w:r w:rsidRPr="000A1B63">
              <w:rPr>
                <w:rFonts w:asciiTheme="minorHAnsi" w:hAnsiTheme="minorHAnsi" w:cstheme="minorHAnsi"/>
                <w:noProof/>
                <w:webHidden/>
                <w:sz w:val="19"/>
                <w:szCs w:val="19"/>
              </w:rPr>
              <w:fldChar w:fldCharType="separate"/>
            </w:r>
            <w:r w:rsidRPr="000A1B63">
              <w:rPr>
                <w:rFonts w:asciiTheme="minorHAnsi" w:hAnsiTheme="minorHAnsi" w:cstheme="minorHAnsi"/>
                <w:noProof/>
                <w:webHidden/>
                <w:sz w:val="19"/>
                <w:szCs w:val="19"/>
              </w:rPr>
              <w:t>2</w:t>
            </w:r>
            <w:r w:rsidRPr="000A1B63">
              <w:rPr>
                <w:rFonts w:asciiTheme="minorHAnsi" w:hAnsiTheme="minorHAnsi" w:cstheme="minorHAnsi"/>
                <w:noProof/>
                <w:webHidden/>
                <w:sz w:val="19"/>
                <w:szCs w:val="19"/>
              </w:rPr>
              <w:fldChar w:fldCharType="end"/>
            </w:r>
          </w:hyperlink>
        </w:p>
        <w:p w:rsidR="00782339" w:rsidRPr="000A1B63" w:rsidRDefault="00CF34C5" w:rsidP="00782339">
          <w:pPr>
            <w:pStyle w:val="TOC1"/>
            <w:tabs>
              <w:tab w:val="right" w:leader="dot" w:pos="10042"/>
            </w:tabs>
            <w:rPr>
              <w:rFonts w:asciiTheme="minorHAnsi" w:hAnsiTheme="minorHAnsi" w:cstheme="minorHAnsi"/>
              <w:noProof/>
              <w:sz w:val="19"/>
              <w:szCs w:val="19"/>
            </w:rPr>
          </w:pPr>
          <w:hyperlink w:anchor="_Toc112616563" w:history="1">
            <w:r w:rsidR="00782339" w:rsidRPr="000A1B63">
              <w:rPr>
                <w:rStyle w:val="Hyperlink"/>
                <w:rFonts w:asciiTheme="minorHAnsi" w:hAnsiTheme="minorHAnsi" w:cstheme="minorHAnsi"/>
                <w:noProof/>
                <w:sz w:val="19"/>
                <w:szCs w:val="19"/>
              </w:rPr>
              <w:t>Introduction</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_Toc112616563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rsidR="00782339" w:rsidRPr="000A1B63" w:rsidRDefault="00CF34C5" w:rsidP="00782339">
          <w:pPr>
            <w:pStyle w:val="TOC1"/>
            <w:tabs>
              <w:tab w:val="right" w:leader="dot" w:pos="10042"/>
            </w:tabs>
            <w:rPr>
              <w:rFonts w:asciiTheme="minorHAnsi" w:hAnsiTheme="minorHAnsi" w:cstheme="minorHAnsi"/>
              <w:noProof/>
              <w:sz w:val="19"/>
              <w:szCs w:val="19"/>
            </w:rPr>
          </w:pPr>
          <w:hyperlink w:anchor="_Toc112616564" w:history="1">
            <w:r w:rsidR="00782339" w:rsidRPr="000A1B63">
              <w:rPr>
                <w:rStyle w:val="Hyperlink"/>
                <w:rFonts w:asciiTheme="minorHAnsi" w:hAnsiTheme="minorHAnsi" w:cstheme="minorHAnsi"/>
                <w:noProof/>
                <w:sz w:val="19"/>
                <w:szCs w:val="19"/>
              </w:rPr>
              <w:t>Purpose of the policy</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_Toc112616564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rsidR="00782339" w:rsidRPr="000A1B63" w:rsidRDefault="00CF34C5" w:rsidP="00782339">
          <w:pPr>
            <w:pStyle w:val="TOC1"/>
            <w:tabs>
              <w:tab w:val="right" w:leader="dot" w:pos="10042"/>
            </w:tabs>
            <w:rPr>
              <w:rFonts w:asciiTheme="minorHAnsi" w:hAnsiTheme="minorHAnsi" w:cstheme="minorHAnsi"/>
              <w:noProof/>
              <w:sz w:val="19"/>
              <w:szCs w:val="19"/>
            </w:rPr>
          </w:pPr>
          <w:hyperlink w:anchor="_Toc112616565" w:history="1">
            <w:r w:rsidR="00782339" w:rsidRPr="000A1B63">
              <w:rPr>
                <w:rStyle w:val="Hyperlink"/>
                <w:rFonts w:asciiTheme="minorHAnsi" w:hAnsiTheme="minorHAnsi" w:cstheme="minorHAnsi"/>
                <w:noProof/>
                <w:sz w:val="19"/>
                <w:szCs w:val="19"/>
              </w:rPr>
              <w:t>The criteria Dixons City Academy uses to award and allocate word processors for examinations and assessments</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_Toc112616565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rsidR="00782339" w:rsidRPr="000A1B63" w:rsidRDefault="00CF34C5" w:rsidP="00782339">
          <w:pPr>
            <w:pStyle w:val="TOC1"/>
            <w:tabs>
              <w:tab w:val="right" w:leader="dot" w:pos="10042"/>
            </w:tabs>
            <w:rPr>
              <w:rFonts w:asciiTheme="minorHAnsi" w:hAnsiTheme="minorHAnsi" w:cstheme="minorHAnsi"/>
              <w:noProof/>
              <w:sz w:val="19"/>
              <w:szCs w:val="19"/>
            </w:rPr>
          </w:pPr>
          <w:hyperlink w:anchor="_Toc112616566" w:history="1">
            <w:r w:rsidR="00782339" w:rsidRPr="000A1B63">
              <w:rPr>
                <w:rStyle w:val="Hyperlink"/>
                <w:rFonts w:asciiTheme="minorHAnsi" w:hAnsiTheme="minorHAnsi" w:cstheme="minorHAnsi"/>
                <w:noProof/>
                <w:sz w:val="19"/>
                <w:szCs w:val="19"/>
              </w:rPr>
              <w:t>Arrangements at the time of the assessment for the use of a word processor</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_Toc112616566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5</w:t>
            </w:r>
            <w:r w:rsidR="00782339" w:rsidRPr="000A1B63">
              <w:rPr>
                <w:rFonts w:asciiTheme="minorHAnsi" w:hAnsiTheme="minorHAnsi" w:cstheme="minorHAnsi"/>
                <w:noProof/>
                <w:webHidden/>
                <w:sz w:val="19"/>
                <w:szCs w:val="19"/>
              </w:rPr>
              <w:fldChar w:fldCharType="end"/>
            </w:r>
          </w:hyperlink>
        </w:p>
        <w:p w:rsidR="00782339" w:rsidRPr="000A1B63" w:rsidRDefault="00782339" w:rsidP="00782339">
          <w:pPr>
            <w:pStyle w:val="TOC1"/>
            <w:tabs>
              <w:tab w:val="right" w:leader="dot" w:pos="10042"/>
            </w:tabs>
            <w:rPr>
              <w:rFonts w:asciiTheme="minorHAnsi" w:hAnsiTheme="minorHAnsi" w:cstheme="minorHAnsi"/>
              <w:noProof/>
              <w:sz w:val="19"/>
              <w:szCs w:val="19"/>
            </w:rPr>
          </w:pPr>
        </w:p>
        <w:p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b/>
              <w:bCs/>
              <w:noProof/>
              <w:sz w:val="19"/>
              <w:szCs w:val="19"/>
            </w:rPr>
            <w:fldChar w:fldCharType="end"/>
          </w:r>
        </w:p>
      </w:sdtContent>
    </w:sdt>
    <w:p w:rsidR="00782339" w:rsidRPr="000A1B63" w:rsidRDefault="00782339" w:rsidP="00782339">
      <w:pPr>
        <w:rPr>
          <w:rFonts w:asciiTheme="minorHAnsi" w:hAnsiTheme="minorHAnsi" w:cstheme="minorHAnsi"/>
          <w:sz w:val="19"/>
          <w:szCs w:val="19"/>
        </w:rPr>
      </w:pPr>
    </w:p>
    <w:p w:rsidR="00782339" w:rsidRPr="000A1B63" w:rsidRDefault="00782339" w:rsidP="00782339">
      <w:pPr>
        <w:rPr>
          <w:rFonts w:asciiTheme="minorHAnsi" w:hAnsiTheme="minorHAnsi" w:cstheme="minorHAnsi"/>
          <w:sz w:val="19"/>
          <w:szCs w:val="19"/>
        </w:rPr>
      </w:pPr>
    </w:p>
    <w:p w:rsidR="00782339" w:rsidRPr="000A1B63" w:rsidRDefault="00782339" w:rsidP="00782339">
      <w:pPr>
        <w:jc w:val="both"/>
        <w:rPr>
          <w:rFonts w:asciiTheme="minorHAnsi" w:hAnsiTheme="minorHAnsi" w:cstheme="minorHAnsi"/>
          <w:sz w:val="19"/>
          <w:szCs w:val="19"/>
        </w:rPr>
      </w:pPr>
      <w:r w:rsidRPr="000A1B63">
        <w:rPr>
          <w:rFonts w:asciiTheme="minorHAnsi" w:hAnsiTheme="minorHAnsi" w:cstheme="minorHAnsi"/>
          <w:color w:val="FF3300"/>
          <w:sz w:val="19"/>
          <w:szCs w:val="19"/>
        </w:rPr>
        <w:br w:type="page"/>
      </w:r>
      <w:bookmarkStart w:id="3" w:name="_Toc431709758"/>
      <w:r w:rsidRPr="000A1B63">
        <w:rPr>
          <w:rFonts w:asciiTheme="minorHAnsi" w:hAnsiTheme="minorHAnsi" w:cstheme="minorHAnsi"/>
          <w:sz w:val="19"/>
          <w:szCs w:val="19"/>
        </w:rPr>
        <w:lastRenderedPageBreak/>
        <w:t xml:space="preserve">This policy is reviewed and updated annually on the publication of updated JCQ regulations and guidance on access arrangements and instructions for conducting exams. </w:t>
      </w:r>
    </w:p>
    <w:p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sz w:val="19"/>
          <w:szCs w:val="19"/>
        </w:rPr>
        <w:t xml:space="preserve">References in this policy to AA and ICE relate to/are directly taken from the </w:t>
      </w:r>
      <w:hyperlink r:id="rId11" w:history="1">
        <w:r w:rsidRPr="000A1B63">
          <w:rPr>
            <w:rStyle w:val="Hyperlink"/>
            <w:rFonts w:asciiTheme="minorHAnsi" w:hAnsiTheme="minorHAnsi" w:cstheme="minorHAnsi"/>
            <w:color w:val="0070C0"/>
            <w:sz w:val="19"/>
            <w:szCs w:val="19"/>
          </w:rPr>
          <w:t>Access Arrangements and Reasonable Adjustments</w:t>
        </w:r>
        <w:r w:rsidRPr="000A1B63">
          <w:rPr>
            <w:rStyle w:val="Hyperlink"/>
            <w:rFonts w:asciiTheme="minorHAnsi" w:hAnsiTheme="minorHAnsi" w:cstheme="minorHAnsi"/>
            <w:sz w:val="19"/>
            <w:szCs w:val="19"/>
          </w:rPr>
          <w:t xml:space="preserve"> </w:t>
        </w:r>
        <w:r w:rsidRPr="000A1B63">
          <w:rPr>
            <w:rStyle w:val="Hyperlink"/>
            <w:rFonts w:asciiTheme="minorHAnsi" w:hAnsiTheme="minorHAnsi" w:cstheme="minorHAnsi"/>
            <w:color w:val="0070C0"/>
            <w:sz w:val="19"/>
            <w:szCs w:val="19"/>
          </w:rPr>
          <w:t>2022-2023</w:t>
        </w:r>
      </w:hyperlink>
      <w:r w:rsidRPr="000A1B63">
        <w:rPr>
          <w:rFonts w:asciiTheme="minorHAnsi" w:hAnsiTheme="minorHAnsi" w:cstheme="minorHAnsi"/>
          <w:sz w:val="19"/>
          <w:szCs w:val="19"/>
        </w:rPr>
        <w:t xml:space="preserve"> and </w:t>
      </w:r>
      <w:hyperlink r:id="rId12" w:history="1">
        <w:r w:rsidRPr="000A1B63">
          <w:rPr>
            <w:rStyle w:val="Hyperlink"/>
            <w:rFonts w:asciiTheme="minorHAnsi" w:hAnsiTheme="minorHAnsi" w:cstheme="minorHAnsi"/>
            <w:color w:val="0070C0"/>
            <w:sz w:val="19"/>
            <w:szCs w:val="19"/>
          </w:rPr>
          <w:t>Instructions for conducting examinations 2022-2023</w:t>
        </w:r>
      </w:hyperlink>
      <w:r w:rsidRPr="000A1B63">
        <w:rPr>
          <w:rFonts w:asciiTheme="minorHAnsi" w:hAnsiTheme="minorHAnsi" w:cstheme="minorHAnsi"/>
          <w:sz w:val="19"/>
          <w:szCs w:val="19"/>
        </w:rPr>
        <w:t xml:space="preserve"> publications. </w:t>
      </w:r>
    </w:p>
    <w:p w:rsidR="00782339" w:rsidRPr="00CF34C5" w:rsidRDefault="00782339" w:rsidP="00782339">
      <w:pPr>
        <w:pStyle w:val="Headinglevel1"/>
        <w:spacing w:before="240"/>
        <w:rPr>
          <w:rFonts w:asciiTheme="minorHAnsi" w:hAnsiTheme="minorHAnsi" w:cstheme="minorHAnsi"/>
          <w:sz w:val="23"/>
          <w:szCs w:val="23"/>
        </w:rPr>
      </w:pPr>
      <w:bookmarkStart w:id="4" w:name="_Toc112616563"/>
      <w:r w:rsidRPr="00CF34C5">
        <w:rPr>
          <w:rFonts w:asciiTheme="minorHAnsi" w:hAnsiTheme="minorHAnsi" w:cstheme="minorHAnsi"/>
          <w:sz w:val="23"/>
          <w:szCs w:val="23"/>
        </w:rPr>
        <w:t>Introduction</w:t>
      </w:r>
      <w:bookmarkEnd w:id="3"/>
      <w:bookmarkEnd w:id="4"/>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use of a word processor in exams and assessments is an available access arrangement/reasonable adjustment.</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4.2.1)</w:t>
      </w:r>
    </w:p>
    <w:p w:rsidR="00782339" w:rsidRPr="000A1B63" w:rsidRDefault="00782339" w:rsidP="00782339">
      <w:pPr>
        <w:autoSpaceDE w:val="0"/>
        <w:autoSpaceDN w:val="0"/>
        <w:adjustRightInd w:val="0"/>
        <w:rPr>
          <w:rFonts w:asciiTheme="minorHAnsi" w:hAnsiTheme="minorHAnsi" w:cstheme="minorHAnsi"/>
          <w:sz w:val="19"/>
          <w:szCs w:val="19"/>
        </w:rPr>
      </w:pPr>
      <w:r w:rsidRPr="000A1B63">
        <w:rPr>
          <w:rFonts w:asciiTheme="minorHAnsi" w:hAnsiTheme="minorHAnsi" w:cstheme="minorHAnsi"/>
          <w:sz w:val="19"/>
          <w:szCs w:val="19"/>
        </w:rPr>
        <w:t>The purpose of an access arrangement/reasonable adjustment is to ensure, where possible, that barriers to assessment are removed for a disabled candidate preventing him/her from being placed at a substantial disadvantage as a consequence of persistent and significant difficulties. The integrity of the assessment is maintained, whilst at the same time providing access to assessments for a disabled candidate.</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4.2.2)</w:t>
      </w:r>
    </w:p>
    <w:p w:rsidR="00782339" w:rsidRPr="000A1B63" w:rsidRDefault="00782339" w:rsidP="00782339">
      <w:pPr>
        <w:autoSpaceDE w:val="0"/>
        <w:autoSpaceDN w:val="0"/>
        <w:adjustRightInd w:val="0"/>
        <w:rPr>
          <w:rFonts w:asciiTheme="minorHAnsi" w:hAnsiTheme="minorHAnsi" w:cstheme="minorHAnsi"/>
          <w:sz w:val="19"/>
          <w:szCs w:val="19"/>
        </w:rPr>
      </w:pPr>
      <w:r w:rsidRPr="000A1B63">
        <w:rPr>
          <w:rFonts w:asciiTheme="minorHAnsi" w:hAnsiTheme="minorHAnsi" w:cstheme="minorHAnsi"/>
          <w:sz w:val="19"/>
          <w:szCs w:val="19"/>
        </w:rPr>
        <w:t>Although access arrangements/adjustments are intended to allow access to assessments, they cannot be granted where they will compromise the assessment objectives of the specification in question.</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4.2.3)</w:t>
      </w:r>
    </w:p>
    <w:p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sz w:val="19"/>
          <w:szCs w:val="19"/>
        </w:rPr>
        <w:t>Candidates may not require the same access arrangements/reasonable adjustments in each specification. Subjects and their methods of assessments may vary, leading to different demands of the candidate. ALS leads/</w:t>
      </w:r>
      <w:proofErr w:type="spellStart"/>
      <w:r w:rsidRPr="000A1B63">
        <w:rPr>
          <w:rFonts w:asciiTheme="minorHAnsi" w:hAnsiTheme="minorHAnsi" w:cstheme="minorHAnsi"/>
          <w:sz w:val="19"/>
          <w:szCs w:val="19"/>
        </w:rPr>
        <w:t>SENCos</w:t>
      </w:r>
      <w:proofErr w:type="spellEnd"/>
      <w:r w:rsidRPr="000A1B63">
        <w:rPr>
          <w:rFonts w:asciiTheme="minorHAnsi" w:hAnsiTheme="minorHAnsi" w:cstheme="minorHAnsi"/>
          <w:sz w:val="19"/>
          <w:szCs w:val="19"/>
        </w:rPr>
        <w:t xml:space="preserve"> must consider the need for access arrangements/reasonable adjustments on a subject-by-subject basis. </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4.2.1)</w:t>
      </w:r>
    </w:p>
    <w:p w:rsidR="00782339" w:rsidRPr="000A1B63" w:rsidRDefault="00782339" w:rsidP="00782339">
      <w:pPr>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The Additional Learning Support lead/SENCo must ensure that the proposed access arrangement/reasonable adjustment does not unfairly disadvantage or advantage a candidate. </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4.2.7)</w:t>
      </w:r>
    </w:p>
    <w:p w:rsidR="00782339" w:rsidRPr="000A1B63" w:rsidRDefault="00782339" w:rsidP="00782339">
      <w:pPr>
        <w:ind w:right="-13"/>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The candidate must have had appropriate opportunities to practice using the access arrangement(s)/reasonable adjustment(s) before his/her first examination. </w:t>
      </w:r>
    </w:p>
    <w:p w:rsidR="00782339" w:rsidRPr="00CF34C5" w:rsidRDefault="00782339" w:rsidP="00782339">
      <w:pPr>
        <w:pStyle w:val="Headinglevel1"/>
        <w:spacing w:before="240"/>
        <w:rPr>
          <w:rFonts w:asciiTheme="minorHAnsi" w:hAnsiTheme="minorHAnsi" w:cstheme="minorHAnsi"/>
          <w:sz w:val="23"/>
          <w:szCs w:val="23"/>
        </w:rPr>
      </w:pPr>
      <w:bookmarkStart w:id="5" w:name="_Toc112616564"/>
      <w:r w:rsidRPr="00CF34C5">
        <w:rPr>
          <w:rFonts w:asciiTheme="minorHAnsi" w:hAnsiTheme="minorHAnsi" w:cstheme="minorHAnsi"/>
          <w:sz w:val="23"/>
          <w:szCs w:val="23"/>
        </w:rPr>
        <w:t>Purpose of the policy</w:t>
      </w:r>
      <w:bookmarkEnd w:id="5"/>
    </w:p>
    <w:p w:rsidR="00782339" w:rsidRPr="000A1B63" w:rsidRDefault="00782339" w:rsidP="00782339">
      <w:pPr>
        <w:pStyle w:val="Default"/>
        <w:rPr>
          <w:rFonts w:asciiTheme="minorHAnsi" w:hAnsiTheme="minorHAnsi" w:cstheme="minorHAnsi"/>
          <w:color w:val="auto"/>
          <w:sz w:val="19"/>
          <w:szCs w:val="19"/>
        </w:rPr>
      </w:pPr>
      <w:r w:rsidRPr="000A1B63">
        <w:rPr>
          <w:rFonts w:asciiTheme="minorHAnsi" w:hAnsiTheme="minorHAnsi" w:cstheme="minorHAnsi"/>
          <w:sz w:val="19"/>
          <w:szCs w:val="19"/>
        </w:rPr>
        <w:t xml:space="preserve">This policy details how </w:t>
      </w:r>
      <w:r w:rsidRPr="000A1B63">
        <w:rPr>
          <w:rFonts w:asciiTheme="minorHAnsi" w:hAnsiTheme="minorHAnsi" w:cstheme="minorHAnsi"/>
          <w:color w:val="auto"/>
          <w:sz w:val="19"/>
          <w:szCs w:val="19"/>
        </w:rPr>
        <w:t xml:space="preserve">Dixons City Academy complies with </w:t>
      </w:r>
      <w:r w:rsidRPr="000A1B63">
        <w:rPr>
          <w:rFonts w:asciiTheme="minorHAnsi" w:hAnsiTheme="minorHAnsi" w:cstheme="minorHAnsi"/>
          <w:sz w:val="19"/>
          <w:szCs w:val="19"/>
        </w:rPr>
        <w:t>AA chapter 4 (Managing the needs of candidates and principles for centres), section 5.8 (Word processor) and ICE (sections 14.20-27)</w:t>
      </w:r>
      <w:r w:rsidRPr="000A1B63">
        <w:rPr>
          <w:rFonts w:asciiTheme="minorHAnsi" w:hAnsiTheme="minorHAnsi" w:cstheme="minorHAnsi"/>
          <w:color w:val="auto"/>
          <w:sz w:val="19"/>
          <w:szCs w:val="19"/>
        </w:rPr>
        <w:t xml:space="preserve"> when awarding and allocating a candidate the use of word processor in examinations.</w:t>
      </w:r>
    </w:p>
    <w:p w:rsidR="00782339" w:rsidRPr="000A1B63" w:rsidRDefault="00782339" w:rsidP="00782339">
      <w:pPr>
        <w:pStyle w:val="Default"/>
        <w:spacing w:before="120"/>
        <w:rPr>
          <w:rFonts w:asciiTheme="minorHAnsi" w:hAnsiTheme="minorHAnsi" w:cstheme="minorHAnsi"/>
          <w:color w:val="auto"/>
          <w:sz w:val="19"/>
          <w:szCs w:val="19"/>
        </w:rPr>
      </w:pPr>
      <w:r w:rsidRPr="000A1B63">
        <w:rPr>
          <w:rFonts w:asciiTheme="minorHAnsi" w:hAnsiTheme="minorHAnsi" w:cstheme="minorHAnsi"/>
          <w:color w:val="auto"/>
          <w:sz w:val="19"/>
          <w:szCs w:val="19"/>
        </w:rPr>
        <w:t>The term ‘word processor’ is used to describe for example, the use of a computer, laptop or tablet.</w:t>
      </w:r>
    </w:p>
    <w:p w:rsidR="00782339" w:rsidRPr="00CF34C5" w:rsidRDefault="00782339" w:rsidP="00782339">
      <w:pPr>
        <w:pStyle w:val="Headinglevel1"/>
        <w:spacing w:before="240"/>
        <w:rPr>
          <w:rFonts w:asciiTheme="minorHAnsi" w:hAnsiTheme="minorHAnsi" w:cstheme="minorHAnsi"/>
          <w:sz w:val="23"/>
          <w:szCs w:val="23"/>
        </w:rPr>
      </w:pPr>
      <w:bookmarkStart w:id="6" w:name="_Toc112616565"/>
      <w:r w:rsidRPr="00CF34C5">
        <w:rPr>
          <w:rFonts w:asciiTheme="minorHAnsi" w:hAnsiTheme="minorHAnsi" w:cstheme="minorHAnsi"/>
          <w:sz w:val="23"/>
          <w:szCs w:val="23"/>
        </w:rPr>
        <w:t>The criteria Dixons City Academy uses to award and allocate word processors for examinations and assessments</w:t>
      </w:r>
      <w:bookmarkEnd w:id="6"/>
    </w:p>
    <w:p w:rsidR="00782339" w:rsidRPr="00CF34C5" w:rsidRDefault="00782339" w:rsidP="00782339">
      <w:pPr>
        <w:rPr>
          <w:rFonts w:asciiTheme="minorHAnsi" w:hAnsiTheme="minorHAnsi" w:cstheme="minorHAnsi"/>
          <w:color w:val="000000" w:themeColor="text1"/>
          <w:sz w:val="19"/>
          <w:szCs w:val="19"/>
        </w:rPr>
      </w:pPr>
      <w:r w:rsidRPr="00CF34C5">
        <w:rPr>
          <w:rFonts w:asciiTheme="minorHAnsi" w:hAnsiTheme="minorHAnsi" w:cstheme="minorHAnsi"/>
          <w:color w:val="000000" w:themeColor="text1"/>
          <w:sz w:val="19"/>
          <w:szCs w:val="19"/>
        </w:rPr>
        <w:t>The ‘normal way of working’ for exam candidates, as directed by the head of centre, is that candidates handwrite their exams unless there are exceptions.</w:t>
      </w:r>
    </w:p>
    <w:p w:rsidR="00782339" w:rsidRPr="000A1B63" w:rsidRDefault="00782339" w:rsidP="00782339">
      <w:pPr>
        <w:autoSpaceDE w:val="0"/>
        <w:autoSpaceDN w:val="0"/>
        <w:adjustRightInd w:val="0"/>
        <w:spacing w:after="0"/>
        <w:rPr>
          <w:rFonts w:asciiTheme="minorHAnsi" w:hAnsiTheme="minorHAnsi" w:cstheme="minorHAnsi"/>
          <w:sz w:val="19"/>
          <w:szCs w:val="19"/>
        </w:rPr>
      </w:pP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 xml:space="preserve">The centre will </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Allocate the use of a word processor to a candidate with the spelling and grammar check facility/predictive text disabled (switched off) where it is their normal way of working within the centre (AA 5.8.1).</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Award the use of a word processor to a candidate where appropriate to their needs </w:t>
      </w:r>
    </w:p>
    <w:p w:rsidR="00782339" w:rsidRPr="000A1B63" w:rsidRDefault="00782339" w:rsidP="00782339">
      <w:pPr>
        <w:pStyle w:val="ListParagraph"/>
        <w:autoSpaceDE w:val="0"/>
        <w:autoSpaceDN w:val="0"/>
        <w:adjustRightInd w:val="0"/>
        <w:spacing w:after="0"/>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For example, a candidate with: </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learning difficulty which has a substantial and long-term adverse effect on their ability to write legibly.</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medical condition.</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physical disability.</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sensory impairment.</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Planning and organisational problems when writing by hand.</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Poor handwriting (AA 5.8.4).</w:t>
      </w:r>
    </w:p>
    <w:p w:rsidR="00782339" w:rsidRPr="000A1B63" w:rsidRDefault="00782339" w:rsidP="00782339">
      <w:pPr>
        <w:pStyle w:val="ListParagraph"/>
        <w:numPr>
          <w:ilvl w:val="1"/>
          <w:numId w:val="47"/>
        </w:numPr>
        <w:autoSpaceDE w:val="0"/>
        <w:autoSpaceDN w:val="0"/>
        <w:adjustRightInd w:val="0"/>
        <w:spacing w:before="0" w:after="0"/>
        <w:rPr>
          <w:rFonts w:asciiTheme="minorHAnsi" w:hAnsiTheme="minorHAnsi" w:cstheme="minorHAnsi"/>
          <w:sz w:val="19"/>
          <w:szCs w:val="19"/>
        </w:rPr>
      </w:pP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Only permit the use of a word processor where the integrity of the assessment can be maintained (AA 4.2.1).</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Not grant the use of a word processor where it will compromise the assessment objectives of the specification in question (AA 4.2.2).</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Consider on a subject-by-subject basis if the candidate will need to use a word processor in each specification (AA 4.2.3).</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lastRenderedPageBreak/>
        <w:t xml:space="preserve">Process access arrangements/reasonable adjustments at the start of the course, or as soon as practicable </w:t>
      </w:r>
      <w:r w:rsidRPr="000A1B63">
        <w:rPr>
          <w:rFonts w:asciiTheme="minorHAnsi" w:eastAsia="Times New Roman" w:hAnsiTheme="minorHAnsi" w:cstheme="minorHAnsi"/>
          <w:sz w:val="19"/>
          <w:szCs w:val="19"/>
        </w:rPr>
        <w:t xml:space="preserve">having firmly established a picture of need and normal way of working, </w:t>
      </w:r>
      <w:r w:rsidRPr="000A1B63">
        <w:rPr>
          <w:rFonts w:asciiTheme="minorHAnsi" w:hAnsiTheme="minorHAnsi" w:cstheme="minorHAnsi"/>
          <w:sz w:val="19"/>
          <w:szCs w:val="19"/>
        </w:rPr>
        <w:t>ensuring arrangements are always approved before an examination or assessment (AA 4.2.4).</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Provide the use of word processors to candidates in non-examination assessment components as standard practice unless prohibited by the specification (AA 5.8.2).</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centre will not:</w:t>
      </w:r>
    </w:p>
    <w:p w:rsidR="00782339" w:rsidRPr="000A1B63" w:rsidRDefault="00782339" w:rsidP="00782339">
      <w:pPr>
        <w:pStyle w:val="ListParagraph"/>
        <w:numPr>
          <w:ilvl w:val="0"/>
          <w:numId w:val="47"/>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Simply grant the use of a word processor to a candidate because he/she now wants to type rather than write in exams or can work faster on a keyboard, or because he/she uses a laptop at home. (AA 5.8.4) </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use of a word processor would be considered for a candidate:</w:t>
      </w:r>
    </w:p>
    <w:p w:rsidR="00782339" w:rsidRPr="000A1B63" w:rsidRDefault="00782339" w:rsidP="00782339">
      <w:pPr>
        <w:pStyle w:val="ListParagraph"/>
        <w:numPr>
          <w:ilvl w:val="0"/>
          <w:numId w:val="48"/>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in the event of a temporary injury or impairment, or a diagnosis of a disability or manifestation of an impairment relating to an existing disability arising after the start of the course (AA 4.2.4)</w:t>
      </w:r>
    </w:p>
    <w:p w:rsidR="00782339" w:rsidRPr="000A1B63" w:rsidRDefault="00782339" w:rsidP="00782339">
      <w:pPr>
        <w:pStyle w:val="ListParagraph"/>
        <w:numPr>
          <w:ilvl w:val="0"/>
          <w:numId w:val="48"/>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where the curriculum is delivered electronically and the centre provides word processors to all candidates (AA 5.8.4)</w:t>
      </w:r>
    </w:p>
    <w:p w:rsidR="00782339" w:rsidRPr="00CF34C5" w:rsidRDefault="00782339" w:rsidP="00CF34C5">
      <w:pPr>
        <w:pStyle w:val="Headinglevel1"/>
        <w:spacing w:before="240"/>
        <w:rPr>
          <w:rFonts w:asciiTheme="minorHAnsi" w:hAnsiTheme="minorHAnsi" w:cstheme="minorHAnsi"/>
          <w:sz w:val="23"/>
          <w:szCs w:val="23"/>
        </w:rPr>
      </w:pPr>
      <w:bookmarkStart w:id="7" w:name="_Toc431709762"/>
      <w:r w:rsidRPr="00CF34C5">
        <w:rPr>
          <w:rFonts w:asciiTheme="minorHAnsi" w:hAnsiTheme="minorHAnsi" w:cstheme="minorHAnsi"/>
          <w:sz w:val="23"/>
          <w:szCs w:val="23"/>
        </w:rPr>
        <w:t>Centre specific processes</w:t>
      </w:r>
    </w:p>
    <w:p w:rsidR="00782339" w:rsidRPr="000A1B63" w:rsidRDefault="00782339" w:rsidP="00782339">
      <w:pPr>
        <w:spacing w:line="276" w:lineRule="auto"/>
        <w:jc w:val="both"/>
        <w:rPr>
          <w:rFonts w:asciiTheme="minorHAnsi" w:hAnsiTheme="minorHAnsi" w:cstheme="minorHAnsi"/>
          <w:sz w:val="19"/>
          <w:szCs w:val="19"/>
        </w:rPr>
      </w:pPr>
      <w:bookmarkStart w:id="8" w:name="_Toc495841749"/>
      <w:bookmarkStart w:id="9" w:name="_Hlk495855833"/>
      <w:bookmarkEnd w:id="7"/>
      <w:r w:rsidRPr="000A1B63">
        <w:rPr>
          <w:rFonts w:asciiTheme="minorHAnsi" w:hAnsiTheme="minorHAnsi" w:cstheme="minorHAnsi"/>
          <w:sz w:val="19"/>
          <w:szCs w:val="19"/>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rsidR="00782339" w:rsidRPr="000A1B63" w:rsidRDefault="00782339" w:rsidP="00782339">
      <w:pPr>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The use of word processors</w:t>
      </w:r>
    </w:p>
    <w:p w:rsidR="00782339" w:rsidRPr="000A1B63" w:rsidRDefault="00782339" w:rsidP="00782339">
      <w:p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There are also exceptions where a candidate may be awarded/allocated the use of a word processor in exams where the candidate has a firmly established need, it reflects the candidate’s normal way of working and by not being awarded a word processor would be at a substantial disadvantage to other candidates.</w:t>
      </w:r>
    </w:p>
    <w:p w:rsidR="00782339" w:rsidRPr="000A1B63" w:rsidRDefault="00782339" w:rsidP="00782339">
      <w:pPr>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Needs might include where a candidate has, for example:</w:t>
      </w:r>
    </w:p>
    <w:p w:rsidR="00782339" w:rsidRPr="000A1B63" w:rsidRDefault="00782339" w:rsidP="00782339">
      <w:pPr>
        <w:pStyle w:val="ListParagraph"/>
        <w:numPr>
          <w:ilvl w:val="0"/>
          <w:numId w:val="49"/>
        </w:numPr>
        <w:spacing w:before="0" w:line="276" w:lineRule="auto"/>
        <w:jc w:val="both"/>
        <w:rPr>
          <w:rFonts w:asciiTheme="minorHAnsi" w:hAnsiTheme="minorHAnsi" w:cstheme="minorHAnsi"/>
          <w:sz w:val="19"/>
          <w:szCs w:val="19"/>
        </w:rPr>
      </w:pPr>
      <w:r w:rsidRPr="000A1B63">
        <w:rPr>
          <w:rFonts w:asciiTheme="minorHAnsi" w:hAnsiTheme="minorHAnsi" w:cstheme="minorHAnsi"/>
          <w:sz w:val="19"/>
          <w:szCs w:val="19"/>
        </w:rPr>
        <w:t>A learning difficulty which has a substantial and long term adverse effect on their ability to write legibly.</w:t>
      </w:r>
    </w:p>
    <w:p w:rsidR="00782339" w:rsidRPr="000A1B63" w:rsidRDefault="00782339" w:rsidP="00782339">
      <w:pPr>
        <w:pStyle w:val="ListParagraph"/>
        <w:numPr>
          <w:ilvl w:val="0"/>
          <w:numId w:val="49"/>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medical condition.</w:t>
      </w:r>
    </w:p>
    <w:p w:rsidR="00782339" w:rsidRPr="000A1B63" w:rsidRDefault="00782339" w:rsidP="00782339">
      <w:pPr>
        <w:pStyle w:val="ListParagraph"/>
        <w:numPr>
          <w:ilvl w:val="0"/>
          <w:numId w:val="49"/>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physical disability.</w:t>
      </w:r>
    </w:p>
    <w:p w:rsidR="00782339" w:rsidRPr="000A1B63" w:rsidRDefault="00782339" w:rsidP="00782339">
      <w:pPr>
        <w:pStyle w:val="ListParagraph"/>
        <w:numPr>
          <w:ilvl w:val="0"/>
          <w:numId w:val="49"/>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sensory impairment.</w:t>
      </w:r>
    </w:p>
    <w:p w:rsidR="00782339" w:rsidRPr="000A1B63" w:rsidRDefault="00782339" w:rsidP="00782339">
      <w:pPr>
        <w:pStyle w:val="ListParagraph"/>
        <w:numPr>
          <w:ilvl w:val="0"/>
          <w:numId w:val="49"/>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Planning and organisational problems when writing by hand.</w:t>
      </w:r>
    </w:p>
    <w:p w:rsidR="00782339" w:rsidRPr="000A1B63" w:rsidRDefault="00782339" w:rsidP="00782339">
      <w:pPr>
        <w:pStyle w:val="ListParagraph"/>
        <w:numPr>
          <w:ilvl w:val="0"/>
          <w:numId w:val="49"/>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Poor handwriting.</w:t>
      </w:r>
    </w:p>
    <w:p w:rsidR="00782339" w:rsidRPr="000A1B63" w:rsidRDefault="00782339" w:rsidP="00782339">
      <w:pPr>
        <w:autoSpaceDE w:val="0"/>
        <w:autoSpaceDN w:val="0"/>
        <w:adjustRightInd w:val="0"/>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The only exception to the above where the use of a word processor may be considered for a candidate would be</w:t>
      </w:r>
    </w:p>
    <w:p w:rsidR="00782339" w:rsidRPr="000A1B63" w:rsidRDefault="00782339" w:rsidP="00782339">
      <w:pPr>
        <w:pStyle w:val="ListParagraph"/>
        <w:numPr>
          <w:ilvl w:val="0"/>
          <w:numId w:val="48"/>
        </w:numPr>
        <w:autoSpaceDE w:val="0"/>
        <w:autoSpaceDN w:val="0"/>
        <w:adjustRightInd w:val="0"/>
        <w:spacing w:before="0" w:line="276" w:lineRule="auto"/>
        <w:jc w:val="both"/>
        <w:rPr>
          <w:rFonts w:asciiTheme="minorHAnsi" w:hAnsiTheme="minorHAnsi" w:cstheme="minorHAnsi"/>
          <w:sz w:val="19"/>
          <w:szCs w:val="19"/>
        </w:rPr>
      </w:pPr>
      <w:r w:rsidRPr="000A1B63">
        <w:rPr>
          <w:rFonts w:asciiTheme="minorHAnsi" w:hAnsiTheme="minorHAnsi" w:cstheme="minorHAnsi"/>
          <w:sz w:val="19"/>
          <w:szCs w:val="19"/>
        </w:rPr>
        <w:t>On a temporary basis as a consequence of a temporary injury at the time of the assessment.</w:t>
      </w:r>
    </w:p>
    <w:p w:rsidR="00782339" w:rsidRPr="000A1B63" w:rsidRDefault="00782339" w:rsidP="00782339">
      <w:pPr>
        <w:pStyle w:val="ListParagraph"/>
        <w:numPr>
          <w:ilvl w:val="0"/>
          <w:numId w:val="48"/>
        </w:numPr>
        <w:autoSpaceDE w:val="0"/>
        <w:autoSpaceDN w:val="0"/>
        <w:adjustRightInd w:val="0"/>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Where a subject within the curriculum is delivered electronically and the centre provides word processors to all candidates.</w:t>
      </w:r>
    </w:p>
    <w:p w:rsidR="00782339" w:rsidRPr="000A1B63" w:rsidRDefault="00782339" w:rsidP="00782339">
      <w:pPr>
        <w:autoSpaceDE w:val="0"/>
        <w:autoSpaceDN w:val="0"/>
        <w:adjustRightInd w:val="0"/>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Arrangements for the use of word processors at the time of the assessment</w:t>
      </w:r>
    </w:p>
    <w:p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Appropriate exam-compliant word processors will be provided by the IT department in liaison with the ALS lead/SENCo 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 Allocating word processors at the time of the assessment</w:t>
      </w:r>
    </w:p>
    <w:p w:rsidR="00782339" w:rsidRPr="000A1B63" w:rsidRDefault="00782339" w:rsidP="00CF34C5">
      <w:pPr>
        <w:pStyle w:val="Headinglevel1"/>
        <w:spacing w:before="240"/>
        <w:rPr>
          <w:rFonts w:asciiTheme="minorHAnsi" w:hAnsiTheme="minorHAnsi" w:cstheme="minorHAnsi"/>
          <w:bCs/>
          <w:sz w:val="19"/>
          <w:szCs w:val="19"/>
        </w:rPr>
      </w:pPr>
      <w:bookmarkStart w:id="10" w:name="_GoBack"/>
      <w:bookmarkEnd w:id="8"/>
      <w:bookmarkEnd w:id="9"/>
      <w:bookmarkEnd w:id="10"/>
    </w:p>
    <w:sectPr w:rsidR="00782339" w:rsidRPr="000A1B63">
      <w:footerReference w:type="default" r:id="rId13"/>
      <w:headerReference w:type="first" r:id="rId14"/>
      <w:footerReference w:type="first" r:id="rId1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87" w:rsidRDefault="00C2799C">
      <w:pPr>
        <w:spacing w:after="0"/>
      </w:pPr>
      <w:r>
        <w:separator/>
      </w:r>
    </w:p>
  </w:endnote>
  <w:endnote w:type="continuationSeparator" w:id="0">
    <w:p w:rsidR="00966987" w:rsidRDefault="00C2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CF34C5">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Default"/>
      <w:rPr>
        <w:rFonts w:ascii="Rockwell" w:hAnsi="Rockwell"/>
        <w:color w:val="003399"/>
        <w:sz w:val="18"/>
        <w:szCs w:val="18"/>
      </w:rPr>
    </w:pPr>
    <w:bookmarkStart w:id="11" w:name="_Hlk9276988"/>
    <w:r>
      <w:rPr>
        <w:rFonts w:ascii="Rockwell" w:hAnsi="Rockwell"/>
        <w:color w:val="003399"/>
        <w:sz w:val="18"/>
        <w:szCs w:val="18"/>
      </w:rPr>
      <w:t xml:space="preserve"> </w:t>
    </w:r>
    <w:bookmarkEnd w:id="11"/>
  </w:p>
  <w:p w:rsidR="00966987" w:rsidRDefault="00C2799C">
    <w:pPr>
      <w:pStyle w:val="Default"/>
      <w:jc w:val="right"/>
      <w:rPr>
        <w:rFonts w:ascii="Rockwell" w:hAnsi="Rockwell"/>
        <w:b/>
        <w:i/>
        <w:sz w:val="18"/>
        <w:szCs w:val="18"/>
      </w:rPr>
    </w:pPr>
    <w:r>
      <w:rPr>
        <w:rFonts w:ascii="Rockwell" w:hAnsi="Rockwell"/>
        <w:b/>
        <w:noProof/>
        <w:sz w:val="18"/>
        <w:szCs w:val="18"/>
      </w:rPr>
      <w:t>Complaints and appeals procedure (exams)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87" w:rsidRDefault="00C2799C">
      <w:pPr>
        <w:spacing w:after="0"/>
      </w:pPr>
      <w:r>
        <w:separator/>
      </w:r>
    </w:p>
  </w:footnote>
  <w:footnote w:type="continuationSeparator" w:id="0">
    <w:p w:rsidR="00966987" w:rsidRDefault="00C279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87" w:rsidRDefault="00C2799C">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3"/>
  </w:num>
  <w:num w:numId="4">
    <w:abstractNumId w:val="6"/>
  </w:num>
  <w:num w:numId="5">
    <w:abstractNumId w:val="14"/>
  </w:num>
  <w:num w:numId="6">
    <w:abstractNumId w:val="45"/>
  </w:num>
  <w:num w:numId="7">
    <w:abstractNumId w:val="21"/>
  </w:num>
  <w:num w:numId="8">
    <w:abstractNumId w:val="29"/>
  </w:num>
  <w:num w:numId="9">
    <w:abstractNumId w:val="5"/>
  </w:num>
  <w:num w:numId="10">
    <w:abstractNumId w:val="1"/>
  </w:num>
  <w:num w:numId="11">
    <w:abstractNumId w:val="25"/>
  </w:num>
  <w:num w:numId="12">
    <w:abstractNumId w:val="44"/>
  </w:num>
  <w:num w:numId="13">
    <w:abstractNumId w:val="31"/>
  </w:num>
  <w:num w:numId="14">
    <w:abstractNumId w:val="24"/>
  </w:num>
  <w:num w:numId="15">
    <w:abstractNumId w:val="2"/>
  </w:num>
  <w:num w:numId="16">
    <w:abstractNumId w:val="48"/>
  </w:num>
  <w:num w:numId="17">
    <w:abstractNumId w:val="9"/>
  </w:num>
  <w:num w:numId="18">
    <w:abstractNumId w:val="43"/>
  </w:num>
  <w:num w:numId="19">
    <w:abstractNumId w:val="39"/>
  </w:num>
  <w:num w:numId="20">
    <w:abstractNumId w:val="8"/>
  </w:num>
  <w:num w:numId="21">
    <w:abstractNumId w:val="15"/>
  </w:num>
  <w:num w:numId="22">
    <w:abstractNumId w:val="12"/>
  </w:num>
  <w:num w:numId="23">
    <w:abstractNumId w:val="4"/>
  </w:num>
  <w:num w:numId="24">
    <w:abstractNumId w:val="47"/>
  </w:num>
  <w:num w:numId="25">
    <w:abstractNumId w:val="38"/>
  </w:num>
  <w:num w:numId="26">
    <w:abstractNumId w:val="26"/>
  </w:num>
  <w:num w:numId="27">
    <w:abstractNumId w:val="3"/>
  </w:num>
  <w:num w:numId="28">
    <w:abstractNumId w:val="42"/>
  </w:num>
  <w:num w:numId="29">
    <w:abstractNumId w:val="18"/>
  </w:num>
  <w:num w:numId="30">
    <w:abstractNumId w:val="17"/>
  </w:num>
  <w:num w:numId="31">
    <w:abstractNumId w:val="34"/>
  </w:num>
  <w:num w:numId="32">
    <w:abstractNumId w:val="41"/>
  </w:num>
  <w:num w:numId="33">
    <w:abstractNumId w:val="22"/>
  </w:num>
  <w:num w:numId="34">
    <w:abstractNumId w:val="7"/>
  </w:num>
  <w:num w:numId="35">
    <w:abstractNumId w:val="20"/>
  </w:num>
  <w:num w:numId="36">
    <w:abstractNumId w:val="40"/>
  </w:num>
  <w:num w:numId="37">
    <w:abstractNumId w:val="13"/>
  </w:num>
  <w:num w:numId="38">
    <w:abstractNumId w:val="36"/>
  </w:num>
  <w:num w:numId="39">
    <w:abstractNumId w:val="10"/>
  </w:num>
  <w:num w:numId="40">
    <w:abstractNumId w:val="32"/>
  </w:num>
  <w:num w:numId="41">
    <w:abstractNumId w:val="11"/>
  </w:num>
  <w:num w:numId="42">
    <w:abstractNumId w:val="46"/>
  </w:num>
  <w:num w:numId="43">
    <w:abstractNumId w:val="28"/>
  </w:num>
  <w:num w:numId="44">
    <w:abstractNumId w:val="23"/>
  </w:num>
  <w:num w:numId="45">
    <w:abstractNumId w:val="19"/>
  </w:num>
  <w:num w:numId="46">
    <w:abstractNumId w:val="16"/>
  </w:num>
  <w:num w:numId="47">
    <w:abstractNumId w:val="0"/>
  </w:num>
  <w:num w:numId="48">
    <w:abstractNumId w:val="35"/>
  </w:num>
  <w:num w:numId="49">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0A1B63"/>
    <w:rsid w:val="0022620A"/>
    <w:rsid w:val="00782339"/>
    <w:rsid w:val="00966987"/>
    <w:rsid w:val="00A05655"/>
    <w:rsid w:val="00B83339"/>
    <w:rsid w:val="00C2799C"/>
    <w:rsid w:val="00CF34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3B1809"/>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uiPriority w:val="1"/>
    <w:locked/>
    <w:rsid w:val="00B83339"/>
    <w:rPr>
      <w:rFonts w:ascii="Rockwell" w:hAnsi="Rockwell"/>
    </w:rPr>
  </w:style>
  <w:style w:type="character" w:customStyle="1" w:styleId="apple-converted-space">
    <w:name w:val="apple-converted-space"/>
    <w:basedOn w:val="DefaultParagraphFont"/>
    <w:rsid w:val="00B83339"/>
  </w:style>
  <w:style w:type="paragraph" w:styleId="FootnoteText">
    <w:name w:val="footnote text"/>
    <w:basedOn w:val="Normal"/>
    <w:link w:val="FootnoteTextChar"/>
    <w:uiPriority w:val="99"/>
    <w:semiHidden/>
    <w:unhideWhenUsed/>
    <w:rsid w:val="00B83339"/>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B83339"/>
    <w:rPr>
      <w:rFonts w:eastAsiaTheme="minorHAnsi"/>
      <w:sz w:val="20"/>
      <w:szCs w:val="20"/>
      <w:lang w:eastAsia="en-US"/>
    </w:rPr>
  </w:style>
  <w:style w:type="character" w:styleId="FootnoteReference">
    <w:name w:val="footnote reference"/>
    <w:basedOn w:val="DefaultParagraphFont"/>
    <w:uiPriority w:val="99"/>
    <w:semiHidden/>
    <w:unhideWhenUsed/>
    <w:rsid w:val="00B8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q.org.uk/exams-office/ice---instructions-for-conducting-exam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43954-5F44-44DA-98FF-FC0180B2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5</cp:revision>
  <dcterms:created xsi:type="dcterms:W3CDTF">2022-10-20T09:57:00Z</dcterms:created>
  <dcterms:modified xsi:type="dcterms:W3CDTF">2022-10-21T10:58:00Z</dcterms:modified>
</cp:coreProperties>
</file>