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E5" w:rsidRPr="0074702B" w:rsidRDefault="0074702B">
      <w:pPr>
        <w:tabs>
          <w:tab w:val="left" w:pos="1230"/>
        </w:tabs>
        <w:rPr>
          <w:rFonts w:asciiTheme="minorHAnsi" w:hAnsiTheme="minorHAnsi" w:cstheme="minorHAnsi"/>
          <w:color w:val="003399"/>
          <w:sz w:val="19"/>
          <w:szCs w:val="19"/>
        </w:rPr>
      </w:pPr>
      <w:r w:rsidRPr="0074702B">
        <w:rPr>
          <w:rFonts w:asciiTheme="minorHAnsi" w:hAnsiTheme="minorHAnsi" w:cstheme="minorHAnsi"/>
          <w:noProof/>
          <w:sz w:val="19"/>
          <w:szCs w:val="19"/>
        </w:rPr>
        <w:drawing>
          <wp:anchor distT="0" distB="0" distL="114300" distR="114300" simplePos="0" relativeHeight="251659264" behindDoc="1" locked="0" layoutInCell="1" allowOverlap="1">
            <wp:simplePos x="0" y="0"/>
            <wp:positionH relativeFrom="page">
              <wp:posOffset>123825</wp:posOffset>
            </wp:positionH>
            <wp:positionV relativeFrom="page">
              <wp:posOffset>133350</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2">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r w:rsidRPr="0074702B">
        <w:rPr>
          <w:rFonts w:asciiTheme="minorHAnsi" w:hAnsiTheme="minorHAnsi" w:cstheme="minorHAnsi"/>
          <w:color w:val="003399"/>
          <w:sz w:val="19"/>
          <w:szCs w:val="19"/>
        </w:rPr>
        <w:tab/>
      </w:r>
    </w:p>
    <w:p w:rsidR="007E61E5" w:rsidRPr="0074702B" w:rsidRDefault="007E61E5">
      <w:pPr>
        <w:rPr>
          <w:rFonts w:asciiTheme="minorHAnsi" w:hAnsiTheme="minorHAnsi" w:cstheme="minorHAnsi"/>
          <w:color w:val="003399"/>
          <w:sz w:val="19"/>
          <w:szCs w:val="19"/>
        </w:rPr>
      </w:pPr>
    </w:p>
    <w:p w:rsidR="007E61E5" w:rsidRPr="0074702B" w:rsidRDefault="007E61E5">
      <w:pPr>
        <w:rPr>
          <w:rFonts w:asciiTheme="minorHAnsi" w:hAnsiTheme="minorHAnsi" w:cstheme="minorHAnsi"/>
          <w:color w:val="003399"/>
          <w:sz w:val="19"/>
          <w:szCs w:val="19"/>
        </w:rPr>
      </w:pPr>
    </w:p>
    <w:p w:rsidR="007E61E5" w:rsidRPr="0074702B" w:rsidRDefault="007E61E5">
      <w:pPr>
        <w:rPr>
          <w:rFonts w:asciiTheme="minorHAnsi" w:hAnsiTheme="minorHAnsi" w:cstheme="minorHAnsi"/>
          <w:color w:val="003399"/>
          <w:sz w:val="19"/>
          <w:szCs w:val="19"/>
        </w:rPr>
      </w:pPr>
    </w:p>
    <w:p w:rsidR="007E61E5" w:rsidRPr="0074702B" w:rsidRDefault="007E61E5">
      <w:pPr>
        <w:rPr>
          <w:rFonts w:asciiTheme="minorHAnsi" w:hAnsiTheme="minorHAnsi" w:cstheme="minorHAnsi"/>
          <w:color w:val="003399"/>
          <w:sz w:val="19"/>
          <w:szCs w:val="19"/>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C5094B" w:rsidRDefault="00C5094B">
      <w:pPr>
        <w:rPr>
          <w:rFonts w:asciiTheme="minorHAnsi" w:hAnsiTheme="minorHAnsi" w:cstheme="minorHAnsi"/>
          <w:b/>
          <w:color w:val="174489"/>
          <w:sz w:val="23"/>
          <w:szCs w:val="23"/>
          <w:lang w:eastAsia="en-US"/>
        </w:rPr>
      </w:pPr>
    </w:p>
    <w:p w:rsidR="007E61E5" w:rsidRPr="0074702B" w:rsidRDefault="008B30F5">
      <w:pPr>
        <w:rPr>
          <w:rFonts w:asciiTheme="minorHAnsi" w:hAnsiTheme="minorHAnsi" w:cstheme="minorHAnsi"/>
          <w:b/>
          <w:color w:val="174489"/>
          <w:sz w:val="23"/>
          <w:szCs w:val="23"/>
          <w:lang w:eastAsia="en-US"/>
        </w:rPr>
      </w:pPr>
      <w:r w:rsidRPr="0074702B">
        <w:rPr>
          <w:rFonts w:asciiTheme="minorHAnsi" w:hAnsiTheme="minorHAnsi" w:cstheme="minorHAnsi"/>
          <w:b/>
          <w:color w:val="174489"/>
          <w:sz w:val="23"/>
          <w:szCs w:val="23"/>
          <w:lang w:eastAsia="en-US"/>
        </w:rPr>
        <w:t>Summer 2023 Malpractice Policy</w:t>
      </w:r>
    </w:p>
    <w:p w:rsidR="008B30F5" w:rsidRPr="0074702B" w:rsidRDefault="008B30F5">
      <w:pPr>
        <w:rPr>
          <w:rFonts w:asciiTheme="minorHAnsi" w:hAnsiTheme="minorHAnsi" w:cstheme="minorHAnsi"/>
          <w:b/>
          <w:color w:val="174489"/>
          <w:sz w:val="23"/>
          <w:szCs w:val="23"/>
          <w:lang w:eastAsia="en-US"/>
        </w:rPr>
      </w:pPr>
      <w:r w:rsidRPr="0074702B">
        <w:rPr>
          <w:rFonts w:asciiTheme="minorHAnsi" w:hAnsiTheme="minorHAnsi" w:cstheme="minorHAnsi"/>
          <w:b/>
          <w:color w:val="174489"/>
          <w:sz w:val="23"/>
          <w:szCs w:val="23"/>
          <w:lang w:eastAsia="en-US"/>
        </w:rPr>
        <w:t>Dixons City Academy</w:t>
      </w:r>
    </w:p>
    <w:p w:rsidR="007E61E5" w:rsidRPr="0074702B" w:rsidRDefault="007E61E5">
      <w:pPr>
        <w:rPr>
          <w:rFonts w:asciiTheme="minorHAnsi" w:hAnsiTheme="minorHAnsi" w:cstheme="minorHAnsi"/>
          <w:b/>
          <w:noProof/>
          <w:color w:val="174489"/>
          <w:sz w:val="23"/>
          <w:szCs w:val="23"/>
        </w:rPr>
      </w:pPr>
    </w:p>
    <w:p w:rsidR="007E61E5" w:rsidRPr="0074702B" w:rsidRDefault="007E61E5">
      <w:pPr>
        <w:rPr>
          <w:rFonts w:asciiTheme="minorHAnsi" w:hAnsiTheme="minorHAnsi" w:cstheme="minorHAnsi"/>
          <w:b/>
          <w:noProof/>
          <w:color w:val="174489"/>
          <w:sz w:val="23"/>
          <w:szCs w:val="23"/>
        </w:rPr>
      </w:pPr>
    </w:p>
    <w:p w:rsidR="007E61E5" w:rsidRPr="0074702B" w:rsidRDefault="007E61E5">
      <w:pPr>
        <w:rPr>
          <w:rFonts w:asciiTheme="minorHAnsi" w:hAnsiTheme="minorHAnsi" w:cstheme="minorHAnsi"/>
          <w:b/>
          <w:noProof/>
          <w:color w:val="174489"/>
          <w:sz w:val="23"/>
          <w:szCs w:val="23"/>
        </w:rPr>
      </w:pPr>
    </w:p>
    <w:p w:rsidR="007E61E5" w:rsidRPr="0074702B" w:rsidRDefault="007E61E5">
      <w:pPr>
        <w:rPr>
          <w:rFonts w:asciiTheme="minorHAnsi" w:hAnsiTheme="minorHAnsi" w:cstheme="minorHAnsi"/>
          <w:b/>
          <w:noProof/>
          <w:color w:val="174489"/>
          <w:sz w:val="23"/>
          <w:szCs w:val="23"/>
        </w:rPr>
      </w:pPr>
    </w:p>
    <w:p w:rsidR="007E61E5" w:rsidRDefault="0074702B">
      <w:pPr>
        <w:rPr>
          <w:rFonts w:asciiTheme="minorHAnsi" w:hAnsiTheme="minorHAnsi" w:cstheme="minorHAnsi"/>
          <w:b/>
          <w:noProof/>
          <w:color w:val="174489"/>
          <w:sz w:val="23"/>
          <w:szCs w:val="23"/>
        </w:rPr>
      </w:pPr>
      <w:r w:rsidRPr="0074702B">
        <w:rPr>
          <w:rFonts w:asciiTheme="minorHAnsi" w:hAnsiTheme="minorHAnsi" w:cstheme="minorHAnsi"/>
          <w:b/>
          <w:noProof/>
          <w:color w:val="174489"/>
          <w:sz w:val="23"/>
          <w:szCs w:val="23"/>
        </w:rPr>
        <w:t xml:space="preserve">Reviewed </w:t>
      </w:r>
      <w:r w:rsidR="008B30F5" w:rsidRPr="0074702B">
        <w:rPr>
          <w:rFonts w:asciiTheme="minorHAnsi" w:hAnsiTheme="minorHAnsi" w:cstheme="minorHAnsi"/>
          <w:b/>
          <w:noProof/>
          <w:color w:val="174489"/>
          <w:sz w:val="23"/>
          <w:szCs w:val="23"/>
        </w:rPr>
        <w:t>October</w:t>
      </w:r>
      <w:r w:rsidRPr="0074702B">
        <w:rPr>
          <w:rFonts w:asciiTheme="minorHAnsi" w:hAnsiTheme="minorHAnsi" w:cstheme="minorHAnsi"/>
          <w:b/>
          <w:noProof/>
          <w:color w:val="174489"/>
          <w:sz w:val="23"/>
          <w:szCs w:val="23"/>
        </w:rPr>
        <w:t xml:space="preserve"> 2022</w:t>
      </w: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p>
    <w:p w:rsidR="007B07E6" w:rsidRDefault="007B07E6" w:rsidP="007B07E6">
      <w:pPr>
        <w:jc w:val="right"/>
        <w:rPr>
          <w:rFonts w:asciiTheme="minorHAnsi" w:hAnsiTheme="minorHAnsi" w:cstheme="minorHAnsi"/>
          <w:sz w:val="19"/>
          <w:szCs w:val="19"/>
        </w:rPr>
      </w:pPr>
      <w:bookmarkStart w:id="0" w:name="_GoBack"/>
      <w:bookmarkEnd w:id="0"/>
      <w:r>
        <w:rPr>
          <w:rFonts w:asciiTheme="minorHAnsi" w:hAnsiTheme="minorHAnsi" w:cstheme="minorHAnsi"/>
          <w:sz w:val="19"/>
          <w:szCs w:val="19"/>
        </w:rPr>
        <w:t>This procedure is reviewed annually to ensure compliance with current regulations</w:t>
      </w:r>
    </w:p>
    <w:tbl>
      <w:tblPr>
        <w:tblStyle w:val="TableGrid"/>
        <w:tblW w:w="0"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7B07E6" w:rsidTr="007B07E6">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7B07E6" w:rsidRDefault="007B07E6">
            <w:pPr>
              <w:spacing w:line="276" w:lineRule="auto"/>
              <w:rPr>
                <w:rFonts w:asciiTheme="minorHAnsi" w:hAnsiTheme="minorHAnsi" w:cstheme="minorHAnsi"/>
                <w:sz w:val="19"/>
                <w:szCs w:val="19"/>
              </w:rPr>
            </w:pPr>
            <w:r>
              <w:rPr>
                <w:rFonts w:asciiTheme="minorHAnsi" w:hAnsiTheme="minorHAnsi" w:cstheme="minorHAnsi"/>
                <w:sz w:val="19"/>
                <w:szCs w:val="19"/>
              </w:rPr>
              <w:t>Approved/reviewed by</w:t>
            </w:r>
          </w:p>
        </w:tc>
      </w:tr>
      <w:tr w:rsidR="007B07E6" w:rsidTr="007B07E6">
        <w:tc>
          <w:tcPr>
            <w:tcW w:w="3969" w:type="dxa"/>
            <w:gridSpan w:val="2"/>
            <w:tcBorders>
              <w:top w:val="single" w:sz="8" w:space="0" w:color="auto"/>
              <w:left w:val="single" w:sz="8" w:space="0" w:color="auto"/>
              <w:bottom w:val="single" w:sz="8" w:space="0" w:color="auto"/>
              <w:right w:val="single" w:sz="8" w:space="0" w:color="auto"/>
            </w:tcBorders>
            <w:vAlign w:val="center"/>
            <w:hideMark/>
          </w:tcPr>
          <w:p w:rsidR="007B07E6" w:rsidRDefault="007B07E6">
            <w:pPr>
              <w:spacing w:line="276" w:lineRule="auto"/>
              <w:jc w:val="both"/>
              <w:rPr>
                <w:rFonts w:asciiTheme="minorHAnsi" w:hAnsiTheme="minorHAnsi" w:cstheme="minorHAnsi"/>
                <w:sz w:val="19"/>
                <w:szCs w:val="19"/>
              </w:rPr>
            </w:pPr>
            <w:r>
              <w:rPr>
                <w:rFonts w:asciiTheme="minorHAnsi" w:hAnsiTheme="minorHAnsi" w:cstheme="minorHAnsi"/>
                <w:sz w:val="19"/>
                <w:szCs w:val="19"/>
              </w:rPr>
              <w:t>Krys McAvan</w:t>
            </w:r>
          </w:p>
        </w:tc>
      </w:tr>
      <w:tr w:rsidR="007B07E6" w:rsidTr="007B07E6">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7B07E6" w:rsidRDefault="007B07E6">
            <w:pPr>
              <w:spacing w:line="276" w:lineRule="auto"/>
              <w:ind w:left="1080" w:hanging="1080"/>
              <w:rPr>
                <w:rFonts w:asciiTheme="minorHAnsi" w:hAnsiTheme="minorHAnsi" w:cstheme="minorHAnsi"/>
                <w:sz w:val="19"/>
                <w:szCs w:val="19"/>
              </w:rPr>
            </w:pPr>
            <w:r>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hideMark/>
          </w:tcPr>
          <w:p w:rsidR="007B07E6" w:rsidRDefault="007B07E6">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2023</w:t>
            </w:r>
          </w:p>
        </w:tc>
      </w:tr>
    </w:tbl>
    <w:p w:rsidR="007B07E6" w:rsidRPr="0074702B" w:rsidRDefault="007B07E6">
      <w:pPr>
        <w:rPr>
          <w:rFonts w:asciiTheme="minorHAnsi" w:hAnsiTheme="minorHAnsi" w:cstheme="minorHAnsi"/>
          <w:b/>
          <w:noProof/>
          <w:color w:val="174489"/>
          <w:sz w:val="23"/>
          <w:szCs w:val="23"/>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autoSpaceDE w:val="0"/>
        <w:autoSpaceDN w:val="0"/>
        <w:adjustRightInd w:val="0"/>
        <w:spacing w:line="276" w:lineRule="auto"/>
        <w:rPr>
          <w:rFonts w:asciiTheme="minorHAnsi" w:hAnsiTheme="minorHAnsi" w:cstheme="minorHAnsi"/>
          <w:sz w:val="19"/>
          <w:szCs w:val="19"/>
        </w:rPr>
      </w:pPr>
    </w:p>
    <w:p w:rsidR="007E61E5" w:rsidRPr="0074702B" w:rsidRDefault="007E61E5">
      <w:pPr>
        <w:spacing w:before="120" w:after="120" w:line="276" w:lineRule="auto"/>
        <w:jc w:val="right"/>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E61E5">
      <w:pPr>
        <w:tabs>
          <w:tab w:val="left" w:pos="2280"/>
        </w:tabs>
        <w:rPr>
          <w:rFonts w:asciiTheme="minorHAnsi" w:hAnsiTheme="minorHAnsi" w:cstheme="minorHAnsi"/>
          <w:sz w:val="19"/>
          <w:szCs w:val="19"/>
        </w:rPr>
      </w:pPr>
    </w:p>
    <w:p w:rsidR="007E61E5" w:rsidRPr="0074702B" w:rsidRDefault="0074702B">
      <w:pPr>
        <w:pStyle w:val="Headinglevel1"/>
        <w:spacing w:before="240" w:line="276" w:lineRule="auto"/>
        <w:rPr>
          <w:rFonts w:asciiTheme="minorHAnsi" w:eastAsiaTheme="minorEastAsia" w:hAnsiTheme="minorHAnsi" w:cstheme="minorHAnsi"/>
          <w:noProof/>
          <w:color w:val="174489"/>
          <w:sz w:val="23"/>
          <w:szCs w:val="23"/>
        </w:rPr>
      </w:pPr>
      <w:bookmarkStart w:id="1" w:name="_Toc53387783"/>
      <w:bookmarkStart w:id="2" w:name="_Toc490256598"/>
      <w:r w:rsidRPr="0074702B">
        <w:rPr>
          <w:rFonts w:asciiTheme="minorHAnsi" w:eastAsiaTheme="minorEastAsia" w:hAnsiTheme="minorHAnsi" w:cstheme="minorHAnsi"/>
          <w:noProof/>
          <w:color w:val="174489"/>
          <w:sz w:val="23"/>
          <w:szCs w:val="23"/>
        </w:rPr>
        <w:t>Key staff involved in the conduct of non-examination assessments</w:t>
      </w:r>
      <w:bookmarkEnd w:id="1"/>
      <w:r w:rsidRPr="0074702B">
        <w:rPr>
          <w:rFonts w:asciiTheme="minorHAnsi" w:eastAsiaTheme="minorEastAsia" w:hAnsiTheme="minorHAnsi" w:cstheme="minorHAnsi"/>
          <w:noProof/>
          <w:color w:val="174489"/>
          <w:sz w:val="23"/>
          <w:szCs w:val="23"/>
        </w:rPr>
        <w:t xml:space="preserve"> </w:t>
      </w:r>
      <w:bookmarkEnd w:id="2"/>
    </w:p>
    <w:tbl>
      <w:tblPr>
        <w:tblW w:w="0" w:type="auto"/>
        <w:tblBorders>
          <w:insideH w:val="single" w:sz="4" w:space="0" w:color="174489"/>
          <w:insideV w:val="single" w:sz="4" w:space="0" w:color="174489"/>
        </w:tblBorders>
        <w:tblLook w:val="04A0" w:firstRow="1" w:lastRow="0" w:firstColumn="1" w:lastColumn="0" w:noHBand="0" w:noVBand="1"/>
      </w:tblPr>
      <w:tblGrid>
        <w:gridCol w:w="1418"/>
        <w:gridCol w:w="4442"/>
      </w:tblGrid>
      <w:tr w:rsidR="007E61E5" w:rsidRPr="0074702B">
        <w:tc>
          <w:tcPr>
            <w:tcW w:w="1418" w:type="dxa"/>
          </w:tcPr>
          <w:p w:rsidR="007E61E5" w:rsidRPr="0074702B" w:rsidRDefault="0074702B">
            <w:pPr>
              <w:spacing w:before="120" w:after="120"/>
              <w:jc w:val="both"/>
              <w:rPr>
                <w:rFonts w:asciiTheme="minorHAnsi" w:hAnsiTheme="minorHAnsi" w:cstheme="minorHAnsi"/>
                <w:b/>
                <w:sz w:val="19"/>
                <w:szCs w:val="19"/>
              </w:rPr>
            </w:pPr>
            <w:r w:rsidRPr="0074702B">
              <w:rPr>
                <w:rFonts w:asciiTheme="minorHAnsi" w:hAnsiTheme="minorHAnsi" w:cstheme="minorHAnsi"/>
                <w:b/>
                <w:noProof/>
                <w:color w:val="174489"/>
                <w:sz w:val="19"/>
                <w:szCs w:val="19"/>
              </w:rPr>
              <w:t>Role</w:t>
            </w:r>
          </w:p>
        </w:tc>
        <w:tc>
          <w:tcPr>
            <w:tcW w:w="4442" w:type="dxa"/>
          </w:tcPr>
          <w:p w:rsidR="007E61E5" w:rsidRPr="0074702B" w:rsidRDefault="0074702B">
            <w:pPr>
              <w:pStyle w:val="DCATableColHeader"/>
              <w:rPr>
                <w:rFonts w:cstheme="minorHAnsi"/>
              </w:rPr>
            </w:pPr>
            <w:r w:rsidRPr="0074702B">
              <w:rPr>
                <w:rFonts w:cstheme="minorHAnsi"/>
              </w:rPr>
              <w:t>Name(s)</w:t>
            </w:r>
          </w:p>
        </w:tc>
      </w:tr>
      <w:tr w:rsidR="007E61E5" w:rsidRPr="0074702B">
        <w:tc>
          <w:tcPr>
            <w:tcW w:w="1418" w:type="dxa"/>
          </w:tcPr>
          <w:p w:rsidR="007E61E5" w:rsidRPr="0074702B" w:rsidRDefault="0074702B">
            <w:pPr>
              <w:pStyle w:val="DCATableColHeader"/>
              <w:rPr>
                <w:rFonts w:cstheme="minorHAnsi"/>
              </w:rPr>
            </w:pPr>
            <w:r w:rsidRPr="0074702B">
              <w:rPr>
                <w:rFonts w:cstheme="minorHAnsi"/>
              </w:rPr>
              <w:t>Head of Centre</w:t>
            </w:r>
          </w:p>
        </w:tc>
        <w:tc>
          <w:tcPr>
            <w:tcW w:w="4442" w:type="dxa"/>
          </w:tcPr>
          <w:p w:rsidR="007E61E5" w:rsidRPr="0074702B" w:rsidRDefault="0074702B">
            <w:pPr>
              <w:pStyle w:val="DCATableText"/>
              <w:rPr>
                <w:rFonts w:cstheme="minorHAnsi"/>
              </w:rPr>
            </w:pPr>
            <w:r w:rsidRPr="0074702B">
              <w:rPr>
                <w:rFonts w:cstheme="minorHAnsi"/>
              </w:rPr>
              <w:t>Mike Feely</w:t>
            </w:r>
          </w:p>
        </w:tc>
      </w:tr>
      <w:tr w:rsidR="007E61E5" w:rsidRPr="0074702B">
        <w:tc>
          <w:tcPr>
            <w:tcW w:w="1418" w:type="dxa"/>
          </w:tcPr>
          <w:p w:rsidR="007E61E5" w:rsidRPr="0074702B" w:rsidRDefault="0074702B">
            <w:pPr>
              <w:pStyle w:val="DCATableRowHeader"/>
              <w:rPr>
                <w:rFonts w:cstheme="minorHAnsi"/>
              </w:rPr>
            </w:pPr>
            <w:r w:rsidRPr="0074702B">
              <w:rPr>
                <w:rFonts w:cstheme="minorHAnsi"/>
              </w:rPr>
              <w:t>Quality assurance lead</w:t>
            </w:r>
          </w:p>
        </w:tc>
        <w:tc>
          <w:tcPr>
            <w:tcW w:w="4442" w:type="dxa"/>
          </w:tcPr>
          <w:p w:rsidR="007E61E5" w:rsidRPr="0074702B" w:rsidRDefault="0074702B">
            <w:pPr>
              <w:pStyle w:val="DCATableText"/>
              <w:jc w:val="left"/>
              <w:rPr>
                <w:rFonts w:cstheme="minorHAnsi"/>
              </w:rPr>
            </w:pPr>
            <w:r w:rsidRPr="0074702B">
              <w:rPr>
                <w:rFonts w:cstheme="minorHAnsi"/>
              </w:rPr>
              <w:t>Krys McAvan</w:t>
            </w:r>
          </w:p>
        </w:tc>
      </w:tr>
      <w:tr w:rsidR="007E61E5" w:rsidRPr="0074702B">
        <w:tc>
          <w:tcPr>
            <w:tcW w:w="1418" w:type="dxa"/>
            <w:tcBorders>
              <w:top w:val="single" w:sz="4" w:space="0" w:color="174489"/>
              <w:bottom w:val="single" w:sz="4" w:space="0" w:color="174489"/>
              <w:right w:val="single" w:sz="4" w:space="0" w:color="174489"/>
            </w:tcBorders>
          </w:tcPr>
          <w:p w:rsidR="007E61E5" w:rsidRPr="0074702B" w:rsidRDefault="0074702B">
            <w:pPr>
              <w:pStyle w:val="DCATableRowHeader"/>
              <w:rPr>
                <w:rFonts w:cstheme="minorHAnsi"/>
              </w:rPr>
            </w:pPr>
            <w:r w:rsidRPr="0074702B">
              <w:rPr>
                <w:rFonts w:cstheme="minorHAnsi"/>
              </w:rPr>
              <w:t>SLT member(s)</w:t>
            </w:r>
          </w:p>
        </w:tc>
        <w:tc>
          <w:tcPr>
            <w:tcW w:w="4442" w:type="dxa"/>
            <w:tcBorders>
              <w:top w:val="single" w:sz="4" w:space="0" w:color="174489"/>
              <w:left w:val="single" w:sz="4" w:space="0" w:color="174489"/>
              <w:bottom w:val="single" w:sz="4" w:space="0" w:color="174489"/>
            </w:tcBorders>
          </w:tcPr>
          <w:p w:rsidR="007E61E5" w:rsidRPr="0074702B" w:rsidRDefault="0074702B">
            <w:pPr>
              <w:pStyle w:val="DCATableText"/>
              <w:jc w:val="left"/>
              <w:rPr>
                <w:rFonts w:cstheme="minorHAnsi"/>
              </w:rPr>
            </w:pPr>
            <w:r w:rsidRPr="0074702B">
              <w:rPr>
                <w:rFonts w:cstheme="minorHAnsi"/>
              </w:rPr>
              <w:t>Jo Orton</w:t>
            </w:r>
          </w:p>
        </w:tc>
      </w:tr>
      <w:tr w:rsidR="007E61E5" w:rsidRPr="0074702B">
        <w:tc>
          <w:tcPr>
            <w:tcW w:w="1418" w:type="dxa"/>
            <w:tcBorders>
              <w:top w:val="single" w:sz="4" w:space="0" w:color="174489"/>
              <w:right w:val="single" w:sz="4" w:space="0" w:color="174489"/>
            </w:tcBorders>
          </w:tcPr>
          <w:p w:rsidR="007E61E5" w:rsidRPr="0074702B" w:rsidRDefault="0074702B">
            <w:pPr>
              <w:pStyle w:val="DCATableRowHeader"/>
              <w:rPr>
                <w:rFonts w:cstheme="minorHAnsi"/>
              </w:rPr>
            </w:pPr>
            <w:r w:rsidRPr="0074702B">
              <w:rPr>
                <w:rFonts w:cstheme="minorHAnsi"/>
              </w:rPr>
              <w:t xml:space="preserve">Exams officer </w:t>
            </w:r>
          </w:p>
        </w:tc>
        <w:tc>
          <w:tcPr>
            <w:tcW w:w="4442" w:type="dxa"/>
            <w:tcBorders>
              <w:top w:val="single" w:sz="4" w:space="0" w:color="174489"/>
              <w:left w:val="single" w:sz="4" w:space="0" w:color="174489"/>
            </w:tcBorders>
          </w:tcPr>
          <w:p w:rsidR="007E61E5" w:rsidRPr="0074702B" w:rsidRDefault="008B30F5">
            <w:pPr>
              <w:pStyle w:val="DCATableText"/>
              <w:jc w:val="left"/>
              <w:rPr>
                <w:rFonts w:cstheme="minorHAnsi"/>
              </w:rPr>
            </w:pPr>
            <w:r w:rsidRPr="0074702B">
              <w:rPr>
                <w:rFonts w:cstheme="minorHAnsi"/>
              </w:rPr>
              <w:t>Hayley Crossland</w:t>
            </w:r>
          </w:p>
        </w:tc>
      </w:tr>
    </w:tbl>
    <w:p w:rsidR="007E61E5" w:rsidRPr="0074702B" w:rsidRDefault="0074702B" w:rsidP="00701A5A">
      <w:pPr>
        <w:spacing w:after="200" w:line="276" w:lineRule="auto"/>
        <w:rPr>
          <w:rFonts w:asciiTheme="minorHAnsi" w:hAnsiTheme="minorHAnsi" w:cstheme="minorHAnsi"/>
          <w:sz w:val="19"/>
          <w:szCs w:val="19"/>
        </w:rPr>
      </w:pPr>
      <w:r w:rsidRPr="0074702B">
        <w:rPr>
          <w:rFonts w:asciiTheme="minorHAnsi" w:hAnsiTheme="minorHAnsi" w:cstheme="minorHAnsi"/>
          <w:b/>
          <w:bCs/>
          <w:noProof/>
          <w:color w:val="003399"/>
          <w:sz w:val="19"/>
          <w:szCs w:val="19"/>
        </w:rPr>
        <w:br w:type="page"/>
      </w:r>
    </w:p>
    <w:p w:rsidR="0074702B" w:rsidRPr="008D0CA8" w:rsidRDefault="0074702B" w:rsidP="008D0CA8">
      <w:pPr>
        <w:pStyle w:val="Headinglevel1"/>
        <w:rPr>
          <w:rFonts w:asciiTheme="minorHAnsi" w:hAnsiTheme="minorHAnsi" w:cstheme="minorHAnsi"/>
          <w:color w:val="1F497D" w:themeColor="text2"/>
          <w:sz w:val="23"/>
          <w:szCs w:val="23"/>
        </w:rPr>
      </w:pPr>
      <w:bookmarkStart w:id="3" w:name="_Toc53387784"/>
      <w:r w:rsidRPr="008D0CA8">
        <w:rPr>
          <w:rFonts w:asciiTheme="minorHAnsi" w:hAnsiTheme="minorHAnsi" w:cstheme="minorHAnsi"/>
          <w:color w:val="1F497D" w:themeColor="text2"/>
          <w:sz w:val="23"/>
          <w:szCs w:val="23"/>
        </w:rPr>
        <w:lastRenderedPageBreak/>
        <w:t>Introduction</w:t>
      </w:r>
    </w:p>
    <w:p w:rsidR="0074702B" w:rsidRPr="00BF741C" w:rsidRDefault="0074702B" w:rsidP="00BF741C">
      <w:pPr>
        <w:pStyle w:val="Headinglevel1"/>
        <w:rPr>
          <w:sz w:val="19"/>
          <w:szCs w:val="19"/>
        </w:rPr>
      </w:pPr>
      <w:r w:rsidRPr="00BF741C">
        <w:rPr>
          <w:rFonts w:asciiTheme="minorHAnsi" w:hAnsiTheme="minorHAnsi" w:cstheme="minorHAnsi"/>
          <w:color w:val="1F497D" w:themeColor="text2"/>
          <w:sz w:val="19"/>
          <w:szCs w:val="19"/>
        </w:rPr>
        <w:t>What is malpractice and maladministration?</w:t>
      </w:r>
    </w:p>
    <w:p w:rsidR="0074702B" w:rsidRDefault="0074702B" w:rsidP="008D0CA8">
      <w:pPr>
        <w:pStyle w:val="NoSpacing"/>
        <w:rPr>
          <w:sz w:val="19"/>
          <w:szCs w:val="19"/>
        </w:rPr>
      </w:pPr>
      <w:r>
        <w:rPr>
          <w:sz w:val="19"/>
          <w:szCs w:val="19"/>
        </w:rPr>
        <w:t>‘</w:t>
      </w:r>
      <w:r w:rsidRPr="0074702B">
        <w:rPr>
          <w:sz w:val="19"/>
          <w:szCs w:val="19"/>
        </w:rPr>
        <w:t>Malpractice’ and ‘maladministration’ are related concepts, the common theme of which is that they involve a failure to follow the rules of an examination or assessment. This policy and procedure uses the word ‘malpractice’ to cover both ‘malpractice’ and ‘maladministration’ and it means any act, default or practice which is:</w:t>
      </w:r>
    </w:p>
    <w:p w:rsidR="0074702B" w:rsidRPr="0074702B" w:rsidRDefault="0074702B" w:rsidP="008D0CA8">
      <w:pPr>
        <w:pStyle w:val="NoSpacing"/>
        <w:rPr>
          <w:sz w:val="19"/>
          <w:szCs w:val="19"/>
        </w:rPr>
      </w:pPr>
    </w:p>
    <w:p w:rsidR="00BF741C" w:rsidRDefault="00C80D6E" w:rsidP="008F7416">
      <w:pPr>
        <w:pStyle w:val="NoSpacing"/>
        <w:numPr>
          <w:ilvl w:val="0"/>
          <w:numId w:val="1"/>
        </w:numPr>
        <w:rPr>
          <w:sz w:val="19"/>
          <w:szCs w:val="19"/>
        </w:rPr>
      </w:pPr>
      <w:r>
        <w:rPr>
          <w:sz w:val="19"/>
          <w:szCs w:val="19"/>
        </w:rPr>
        <w:t>A</w:t>
      </w:r>
      <w:r w:rsidR="0074702B" w:rsidRPr="008D0CA8">
        <w:rPr>
          <w:sz w:val="19"/>
          <w:szCs w:val="19"/>
        </w:rPr>
        <w:t xml:space="preserve"> breach of the Regulations</w:t>
      </w:r>
      <w:r>
        <w:rPr>
          <w:sz w:val="19"/>
          <w:szCs w:val="19"/>
        </w:rPr>
        <w:t>.</w:t>
      </w:r>
    </w:p>
    <w:p w:rsidR="008D0CA8" w:rsidRDefault="00C80D6E" w:rsidP="008F7416">
      <w:pPr>
        <w:pStyle w:val="NoSpacing"/>
        <w:numPr>
          <w:ilvl w:val="0"/>
          <w:numId w:val="1"/>
        </w:numPr>
        <w:rPr>
          <w:sz w:val="19"/>
          <w:szCs w:val="19"/>
        </w:rPr>
      </w:pPr>
      <w:r>
        <w:rPr>
          <w:sz w:val="19"/>
          <w:szCs w:val="19"/>
        </w:rPr>
        <w:t>A</w:t>
      </w:r>
      <w:r w:rsidR="0074702B" w:rsidRPr="00BF741C">
        <w:rPr>
          <w:sz w:val="19"/>
          <w:szCs w:val="19"/>
        </w:rPr>
        <w:t xml:space="preserve"> breach of awarding body requirements regarding h</w:t>
      </w:r>
      <w:r w:rsidR="008D0CA8" w:rsidRPr="00BF741C">
        <w:rPr>
          <w:sz w:val="19"/>
          <w:szCs w:val="19"/>
        </w:rPr>
        <w:t>ow a qualification should be delivered</w:t>
      </w:r>
      <w:r>
        <w:rPr>
          <w:sz w:val="19"/>
          <w:szCs w:val="19"/>
        </w:rPr>
        <w:t>.</w:t>
      </w:r>
    </w:p>
    <w:p w:rsidR="0074702B" w:rsidRPr="00BF741C" w:rsidRDefault="00C80D6E" w:rsidP="008F7416">
      <w:pPr>
        <w:pStyle w:val="NoSpacing"/>
        <w:numPr>
          <w:ilvl w:val="0"/>
          <w:numId w:val="1"/>
        </w:numPr>
        <w:rPr>
          <w:sz w:val="19"/>
          <w:szCs w:val="19"/>
        </w:rPr>
      </w:pPr>
      <w:r>
        <w:rPr>
          <w:sz w:val="19"/>
          <w:szCs w:val="19"/>
        </w:rPr>
        <w:t xml:space="preserve">A </w:t>
      </w:r>
      <w:r w:rsidR="0074702B" w:rsidRPr="00BF741C">
        <w:rPr>
          <w:sz w:val="19"/>
          <w:szCs w:val="19"/>
        </w:rPr>
        <w:t>failure to follow established procedures in relation to a qualification</w:t>
      </w:r>
      <w:r>
        <w:rPr>
          <w:sz w:val="19"/>
          <w:szCs w:val="19"/>
        </w:rPr>
        <w:t>.</w:t>
      </w:r>
    </w:p>
    <w:p w:rsidR="00BF741C" w:rsidRDefault="00BF741C" w:rsidP="008D0CA8">
      <w:pPr>
        <w:pStyle w:val="NoSpacing"/>
        <w:rPr>
          <w:sz w:val="19"/>
          <w:szCs w:val="19"/>
        </w:rPr>
      </w:pPr>
    </w:p>
    <w:p w:rsidR="0074702B" w:rsidRDefault="0074702B" w:rsidP="008D0CA8">
      <w:pPr>
        <w:pStyle w:val="NoSpacing"/>
        <w:rPr>
          <w:sz w:val="19"/>
          <w:szCs w:val="19"/>
        </w:rPr>
      </w:pPr>
      <w:proofErr w:type="gramStart"/>
      <w:r w:rsidRPr="0074702B">
        <w:rPr>
          <w:sz w:val="19"/>
          <w:szCs w:val="19"/>
        </w:rPr>
        <w:t>which</w:t>
      </w:r>
      <w:proofErr w:type="gramEnd"/>
      <w:r w:rsidRPr="0074702B">
        <w:rPr>
          <w:sz w:val="19"/>
          <w:szCs w:val="19"/>
        </w:rPr>
        <w:t>:</w:t>
      </w:r>
    </w:p>
    <w:p w:rsidR="0074702B" w:rsidRDefault="0074702B" w:rsidP="008D0CA8">
      <w:pPr>
        <w:pStyle w:val="NoSpacing"/>
        <w:rPr>
          <w:sz w:val="19"/>
          <w:szCs w:val="19"/>
        </w:rPr>
      </w:pPr>
    </w:p>
    <w:p w:rsidR="008D0CA8" w:rsidRDefault="00C80D6E" w:rsidP="008F7416">
      <w:pPr>
        <w:pStyle w:val="NoSpacing"/>
        <w:numPr>
          <w:ilvl w:val="0"/>
          <w:numId w:val="2"/>
        </w:numPr>
        <w:rPr>
          <w:sz w:val="19"/>
          <w:szCs w:val="19"/>
        </w:rPr>
      </w:pPr>
      <w:r>
        <w:rPr>
          <w:sz w:val="19"/>
          <w:szCs w:val="19"/>
        </w:rPr>
        <w:t>G</w:t>
      </w:r>
      <w:r w:rsidR="0074702B" w:rsidRPr="008D0CA8">
        <w:rPr>
          <w:sz w:val="19"/>
          <w:szCs w:val="19"/>
        </w:rPr>
        <w:t xml:space="preserve">ives </w:t>
      </w:r>
      <w:r>
        <w:rPr>
          <w:sz w:val="19"/>
          <w:szCs w:val="19"/>
        </w:rPr>
        <w:t>rise to prejudice to candidates.</w:t>
      </w:r>
    </w:p>
    <w:p w:rsidR="0074702B" w:rsidRDefault="00C80D6E" w:rsidP="008F7416">
      <w:pPr>
        <w:pStyle w:val="NoSpacing"/>
        <w:numPr>
          <w:ilvl w:val="0"/>
          <w:numId w:val="2"/>
        </w:numPr>
        <w:rPr>
          <w:sz w:val="19"/>
          <w:szCs w:val="19"/>
        </w:rPr>
      </w:pPr>
      <w:r>
        <w:rPr>
          <w:sz w:val="19"/>
          <w:szCs w:val="19"/>
        </w:rPr>
        <w:t>C</w:t>
      </w:r>
      <w:r w:rsidR="0074702B" w:rsidRPr="00BF741C">
        <w:rPr>
          <w:sz w:val="19"/>
          <w:szCs w:val="19"/>
        </w:rPr>
        <w:t>ompromises public confidence in qualifications</w:t>
      </w:r>
      <w:r>
        <w:rPr>
          <w:sz w:val="19"/>
          <w:szCs w:val="19"/>
        </w:rPr>
        <w:t>.</w:t>
      </w:r>
    </w:p>
    <w:p w:rsidR="008D0CA8" w:rsidRDefault="00C80D6E" w:rsidP="008F7416">
      <w:pPr>
        <w:pStyle w:val="NoSpacing"/>
        <w:numPr>
          <w:ilvl w:val="0"/>
          <w:numId w:val="2"/>
        </w:numPr>
        <w:rPr>
          <w:sz w:val="19"/>
          <w:szCs w:val="19"/>
        </w:rPr>
      </w:pPr>
      <w:r>
        <w:rPr>
          <w:sz w:val="19"/>
          <w:szCs w:val="19"/>
        </w:rPr>
        <w:t>C</w:t>
      </w:r>
      <w:r w:rsidR="0074702B" w:rsidRPr="00BF741C">
        <w:rPr>
          <w:sz w:val="19"/>
          <w:szCs w:val="19"/>
        </w:rPr>
        <w:t>ompromises, attempts to compromise or may compromise the process of a</w:t>
      </w:r>
      <w:r w:rsidR="008D0CA8" w:rsidRPr="00BF741C">
        <w:rPr>
          <w:sz w:val="19"/>
          <w:szCs w:val="19"/>
        </w:rPr>
        <w:t xml:space="preserve">ssessment, the integrity of any </w:t>
      </w:r>
      <w:r w:rsidR="0074702B" w:rsidRPr="00BF741C">
        <w:rPr>
          <w:sz w:val="19"/>
          <w:szCs w:val="19"/>
        </w:rPr>
        <w:t>qualification or the vali</w:t>
      </w:r>
      <w:r>
        <w:rPr>
          <w:sz w:val="19"/>
          <w:szCs w:val="19"/>
        </w:rPr>
        <w:t>dity of a result or certificate.</w:t>
      </w:r>
    </w:p>
    <w:p w:rsidR="0074702B" w:rsidRDefault="00C80D6E" w:rsidP="008D0CA8">
      <w:pPr>
        <w:pStyle w:val="NoSpacing"/>
        <w:numPr>
          <w:ilvl w:val="0"/>
          <w:numId w:val="2"/>
        </w:numPr>
        <w:rPr>
          <w:sz w:val="19"/>
          <w:szCs w:val="19"/>
        </w:rPr>
      </w:pPr>
      <w:r>
        <w:rPr>
          <w:sz w:val="19"/>
          <w:szCs w:val="19"/>
        </w:rPr>
        <w:t>D</w:t>
      </w:r>
      <w:r w:rsidR="0074702B" w:rsidRPr="00BF741C">
        <w:rPr>
          <w:sz w:val="19"/>
          <w:szCs w:val="19"/>
        </w:rPr>
        <w:t>amages the authority, reputation or credibility of any awarding body or centre or any officer, employee or agent of any awarding body or centre</w:t>
      </w:r>
      <w:r>
        <w:rPr>
          <w:sz w:val="19"/>
          <w:szCs w:val="19"/>
        </w:rPr>
        <w:t>.</w:t>
      </w:r>
    </w:p>
    <w:p w:rsidR="00C80D6E" w:rsidRPr="00C80D6E" w:rsidRDefault="00C80D6E" w:rsidP="00C80D6E">
      <w:pPr>
        <w:pStyle w:val="NoSpacing"/>
        <w:ind w:left="720"/>
        <w:rPr>
          <w:sz w:val="19"/>
          <w:szCs w:val="19"/>
        </w:rPr>
      </w:pPr>
    </w:p>
    <w:p w:rsidR="0074702B" w:rsidRPr="0074702B" w:rsidRDefault="0074702B" w:rsidP="008D0CA8">
      <w:pPr>
        <w:pStyle w:val="NoSpacing"/>
        <w:rPr>
          <w:sz w:val="19"/>
          <w:szCs w:val="19"/>
        </w:rPr>
      </w:pPr>
      <w:r w:rsidRPr="0074702B">
        <w:rPr>
          <w:sz w:val="19"/>
          <w:szCs w:val="19"/>
        </w:rPr>
        <w:t>For the purposes of this document, suspected malpractice means all alleged or suspected i</w:t>
      </w:r>
      <w:r w:rsidR="00887AEA">
        <w:rPr>
          <w:sz w:val="19"/>
          <w:szCs w:val="19"/>
        </w:rPr>
        <w:t xml:space="preserve">ncidents of malpractice </w:t>
      </w:r>
    </w:p>
    <w:p w:rsidR="008D0CA8" w:rsidRDefault="0074702B" w:rsidP="008D0CA8">
      <w:pPr>
        <w:pStyle w:val="NoSpacing"/>
        <w:rPr>
          <w:sz w:val="19"/>
          <w:szCs w:val="19"/>
        </w:rPr>
      </w:pPr>
      <w:r w:rsidRPr="0074702B">
        <w:rPr>
          <w:sz w:val="19"/>
          <w:szCs w:val="19"/>
        </w:rPr>
        <w:t xml:space="preserve"> </w:t>
      </w:r>
    </w:p>
    <w:p w:rsidR="008D0CA8"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 xml:space="preserve">Purpose of the </w:t>
      </w:r>
      <w:r w:rsidR="008D0CA8" w:rsidRPr="008D0CA8">
        <w:rPr>
          <w:rFonts w:asciiTheme="minorHAnsi" w:hAnsiTheme="minorHAnsi" w:cstheme="minorHAnsi"/>
          <w:color w:val="1F497D" w:themeColor="text2"/>
          <w:sz w:val="23"/>
          <w:szCs w:val="23"/>
        </w:rPr>
        <w:t>policy</w:t>
      </w:r>
    </w:p>
    <w:p w:rsidR="0074702B" w:rsidRPr="008D0CA8" w:rsidRDefault="008D0CA8" w:rsidP="008D0CA8">
      <w:pPr>
        <w:pStyle w:val="NoSpacing"/>
      </w:pPr>
      <w:r w:rsidRPr="008D0CA8">
        <w:rPr>
          <w:sz w:val="19"/>
          <w:szCs w:val="19"/>
        </w:rPr>
        <w:t>T</w:t>
      </w:r>
      <w:r w:rsidR="0074702B" w:rsidRPr="0074702B">
        <w:rPr>
          <w:sz w:val="19"/>
          <w:szCs w:val="19"/>
        </w:rPr>
        <w:t>he purpose of this policy is to confirm how Dixons City Academy manages malpractice under normal delivery arrangements in accordance with the regulations.</w:t>
      </w:r>
    </w:p>
    <w:p w:rsidR="00BF741C" w:rsidRDefault="00BF741C" w:rsidP="008D0CA8">
      <w:pPr>
        <w:pStyle w:val="Headinglevel1"/>
        <w:rPr>
          <w:rFonts w:asciiTheme="minorHAnsi" w:hAnsiTheme="minorHAnsi" w:cstheme="minorHAnsi"/>
          <w:color w:val="1F497D" w:themeColor="text2"/>
          <w:sz w:val="23"/>
          <w:szCs w:val="23"/>
        </w:rPr>
      </w:pPr>
    </w:p>
    <w:p w:rsidR="0074702B" w:rsidRPr="0074702B" w:rsidRDefault="0074702B" w:rsidP="008D0CA8">
      <w:pPr>
        <w:pStyle w:val="Headinglevel1"/>
        <w:rPr>
          <w:b w:val="0"/>
        </w:rPr>
      </w:pPr>
      <w:r w:rsidRPr="008D0CA8">
        <w:rPr>
          <w:rFonts w:asciiTheme="minorHAnsi" w:hAnsiTheme="minorHAnsi" w:cstheme="minorHAnsi"/>
          <w:color w:val="1F497D" w:themeColor="text2"/>
          <w:sz w:val="23"/>
          <w:szCs w:val="23"/>
        </w:rPr>
        <w:t>General principles</w:t>
      </w:r>
    </w:p>
    <w:p w:rsidR="0074702B" w:rsidRPr="0074702B" w:rsidRDefault="0074702B" w:rsidP="008D0CA8">
      <w:pPr>
        <w:pStyle w:val="NoSpacing"/>
        <w:rPr>
          <w:sz w:val="19"/>
          <w:szCs w:val="19"/>
        </w:rPr>
      </w:pPr>
      <w:r w:rsidRPr="0074702B">
        <w:rPr>
          <w:sz w:val="19"/>
          <w:szCs w:val="19"/>
        </w:rPr>
        <w:t>In accordance with the regulations Dixons City Academy will:</w:t>
      </w:r>
    </w:p>
    <w:p w:rsidR="008F7416" w:rsidRDefault="008F7416" w:rsidP="008D0CA8">
      <w:pPr>
        <w:pStyle w:val="NoSpacing"/>
        <w:rPr>
          <w:sz w:val="19"/>
          <w:szCs w:val="19"/>
        </w:rPr>
      </w:pPr>
    </w:p>
    <w:p w:rsidR="00887AEA" w:rsidRDefault="0074702B" w:rsidP="008F7416">
      <w:pPr>
        <w:pStyle w:val="NoSpacing"/>
        <w:numPr>
          <w:ilvl w:val="0"/>
          <w:numId w:val="3"/>
        </w:numPr>
        <w:rPr>
          <w:sz w:val="19"/>
          <w:szCs w:val="19"/>
        </w:rPr>
      </w:pPr>
      <w:r w:rsidRPr="008D0CA8">
        <w:rPr>
          <w:sz w:val="19"/>
          <w:szCs w:val="19"/>
        </w:rPr>
        <w:t>Take all reasonable steps to prevent the occurrence of any malpractice (which includes maladministration) before, during and after examina</w:t>
      </w:r>
      <w:r w:rsidR="00887AEA" w:rsidRPr="008D0CA8">
        <w:rPr>
          <w:sz w:val="19"/>
          <w:szCs w:val="19"/>
        </w:rPr>
        <w:t xml:space="preserve">tions have taken place </w:t>
      </w:r>
    </w:p>
    <w:p w:rsidR="0074702B" w:rsidRDefault="0074702B" w:rsidP="008F7416">
      <w:pPr>
        <w:pStyle w:val="NoSpacing"/>
        <w:numPr>
          <w:ilvl w:val="0"/>
          <w:numId w:val="3"/>
        </w:numPr>
        <w:rPr>
          <w:sz w:val="19"/>
          <w:szCs w:val="19"/>
        </w:rPr>
      </w:pPr>
      <w:r w:rsidRPr="008F7416">
        <w:rPr>
          <w:sz w:val="19"/>
          <w:szCs w:val="19"/>
        </w:rPr>
        <w:t>Inform the awarding body immediately of any alleged, suspected or actual incidents of malpractice or maladministration, involving a candidate or a member of staff, by completing</w:t>
      </w:r>
      <w:r w:rsidR="00887AEA" w:rsidRPr="008F7416">
        <w:rPr>
          <w:sz w:val="19"/>
          <w:szCs w:val="19"/>
        </w:rPr>
        <w:t xml:space="preserve"> the appropriate documentation </w:t>
      </w:r>
    </w:p>
    <w:p w:rsidR="0074702B" w:rsidRPr="008F7416" w:rsidRDefault="0074702B" w:rsidP="008F7416">
      <w:pPr>
        <w:pStyle w:val="NoSpacing"/>
        <w:numPr>
          <w:ilvl w:val="0"/>
          <w:numId w:val="3"/>
        </w:numPr>
        <w:rPr>
          <w:sz w:val="19"/>
          <w:szCs w:val="19"/>
        </w:rPr>
      </w:pPr>
      <w:r w:rsidRPr="008F7416">
        <w:rPr>
          <w:sz w:val="19"/>
          <w:szCs w:val="19"/>
        </w:rPr>
        <w:t xml:space="preserve">As required by an awarding body, gather evidence of any instances of alleged or suspected malpractice (which includes maladministration) in accordance with the JCQ publication </w:t>
      </w:r>
      <w:r w:rsidRPr="008F7416">
        <w:rPr>
          <w:rFonts w:eastAsia="Arial"/>
          <w:sz w:val="19"/>
          <w:szCs w:val="19"/>
        </w:rPr>
        <w:t>Suspected malpractice - Policies and procedures</w:t>
      </w:r>
      <w:r w:rsidRPr="008F7416">
        <w:rPr>
          <w:sz w:val="19"/>
          <w:szCs w:val="19"/>
        </w:rPr>
        <w:t xml:space="preserve"> and provide such information and advice as the awarding body </w:t>
      </w:r>
      <w:r w:rsidR="00887AEA" w:rsidRPr="008F7416">
        <w:rPr>
          <w:sz w:val="19"/>
          <w:szCs w:val="19"/>
        </w:rPr>
        <w:t xml:space="preserve">may reasonably require </w:t>
      </w:r>
    </w:p>
    <w:p w:rsidR="008D0CA8" w:rsidRDefault="008D0CA8" w:rsidP="008D0CA8">
      <w:pPr>
        <w:pStyle w:val="NoSpacing"/>
      </w:pP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Candidate malpractice</w:t>
      </w:r>
    </w:p>
    <w:p w:rsidR="0074702B" w:rsidRDefault="0074702B" w:rsidP="008D0CA8">
      <w:pPr>
        <w:pStyle w:val="NoSpacing"/>
        <w:rPr>
          <w:sz w:val="19"/>
          <w:szCs w:val="19"/>
        </w:rPr>
      </w:pPr>
      <w:r w:rsidRPr="0074702B">
        <w:rPr>
          <w:sz w:val="19"/>
          <w:szCs w:val="19"/>
        </w:rPr>
        <w:t>‘Candidate malpractice’ means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writing o</w:t>
      </w:r>
      <w:r w:rsidR="00887AEA">
        <w:rPr>
          <w:sz w:val="19"/>
          <w:szCs w:val="19"/>
        </w:rPr>
        <w:t xml:space="preserve">f any examination paper </w:t>
      </w:r>
    </w:p>
    <w:p w:rsidR="0074702B" w:rsidRPr="0074702B" w:rsidRDefault="0074702B" w:rsidP="008D0CA8">
      <w:pPr>
        <w:pStyle w:val="NoSpacing"/>
        <w:rPr>
          <w:sz w:val="19"/>
          <w:szCs w:val="19"/>
        </w:rPr>
      </w:pP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Centre staff malpractice</w:t>
      </w:r>
    </w:p>
    <w:p w:rsidR="0074702B" w:rsidRPr="0074702B" w:rsidRDefault="0074702B" w:rsidP="008D0CA8">
      <w:pPr>
        <w:pStyle w:val="NoSpacing"/>
        <w:rPr>
          <w:sz w:val="19"/>
          <w:szCs w:val="19"/>
        </w:rPr>
      </w:pPr>
      <w:r w:rsidRPr="0074702B">
        <w:rPr>
          <w:sz w:val="19"/>
          <w:szCs w:val="19"/>
        </w:rPr>
        <w:t>'Centre staff malpractice’ means malpractice committed by:</w:t>
      </w:r>
    </w:p>
    <w:p w:rsidR="008F7416" w:rsidRDefault="008F7416" w:rsidP="008D0CA8">
      <w:pPr>
        <w:pStyle w:val="NoSpacing"/>
        <w:rPr>
          <w:sz w:val="19"/>
          <w:szCs w:val="19"/>
        </w:rPr>
      </w:pPr>
    </w:p>
    <w:p w:rsidR="0074702B" w:rsidRDefault="001223CD" w:rsidP="008F7416">
      <w:pPr>
        <w:pStyle w:val="NoSpacing"/>
        <w:numPr>
          <w:ilvl w:val="0"/>
          <w:numId w:val="4"/>
        </w:numPr>
        <w:rPr>
          <w:sz w:val="19"/>
          <w:szCs w:val="19"/>
        </w:rPr>
      </w:pPr>
      <w:r>
        <w:rPr>
          <w:sz w:val="19"/>
          <w:szCs w:val="19"/>
        </w:rPr>
        <w:t>A</w:t>
      </w:r>
      <w:r w:rsidR="0074702B" w:rsidRPr="008D0CA8">
        <w:rPr>
          <w:sz w:val="19"/>
          <w:szCs w:val="19"/>
        </w:rPr>
        <w:t xml:space="preserve"> member of staff, contractor (whether employed under a contract of employment or a contract for services) or a volunteer at a centre; or</w:t>
      </w:r>
    </w:p>
    <w:p w:rsidR="0074702B" w:rsidRPr="008F7416" w:rsidRDefault="001223CD" w:rsidP="008F7416">
      <w:pPr>
        <w:pStyle w:val="NoSpacing"/>
        <w:numPr>
          <w:ilvl w:val="0"/>
          <w:numId w:val="4"/>
        </w:numPr>
        <w:rPr>
          <w:sz w:val="19"/>
          <w:szCs w:val="19"/>
        </w:rPr>
      </w:pPr>
      <w:r>
        <w:rPr>
          <w:sz w:val="19"/>
          <w:szCs w:val="19"/>
        </w:rPr>
        <w:t>A</w:t>
      </w:r>
      <w:r w:rsidR="0074702B" w:rsidRPr="008F7416">
        <w:rPr>
          <w:sz w:val="19"/>
          <w:szCs w:val="19"/>
        </w:rPr>
        <w:t>n individual appointed in another capacity by a centre such as an invigilator, a Communi</w:t>
      </w:r>
      <w:r w:rsidR="00887AEA" w:rsidRPr="008F7416">
        <w:rPr>
          <w:sz w:val="19"/>
          <w:szCs w:val="19"/>
        </w:rPr>
        <w:t xml:space="preserve">cation Professional, a Language </w:t>
      </w:r>
      <w:r w:rsidR="0074702B" w:rsidRPr="008F7416">
        <w:rPr>
          <w:sz w:val="19"/>
          <w:szCs w:val="19"/>
        </w:rPr>
        <w:t>Modifier, a practical assistant, a prompte</w:t>
      </w:r>
      <w:r>
        <w:rPr>
          <w:sz w:val="19"/>
          <w:szCs w:val="19"/>
        </w:rPr>
        <w:t>r, a reader or a scribe.</w:t>
      </w:r>
    </w:p>
    <w:p w:rsidR="0074702B" w:rsidRPr="0074702B" w:rsidRDefault="0074702B" w:rsidP="008D0CA8">
      <w:pPr>
        <w:pStyle w:val="NoSpacing"/>
        <w:rPr>
          <w:sz w:val="19"/>
          <w:szCs w:val="19"/>
        </w:rPr>
      </w:pPr>
      <w:r w:rsidRPr="0074702B">
        <w:rPr>
          <w:sz w:val="19"/>
          <w:szCs w:val="19"/>
        </w:rPr>
        <w:t xml:space="preserve"> </w:t>
      </w: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Preventing malpractice</w:t>
      </w:r>
    </w:p>
    <w:p w:rsidR="0074702B" w:rsidRDefault="0074702B" w:rsidP="008D0CA8">
      <w:pPr>
        <w:pStyle w:val="NoSpacing"/>
        <w:rPr>
          <w:sz w:val="19"/>
          <w:szCs w:val="19"/>
        </w:rPr>
      </w:pPr>
      <w:r w:rsidRPr="0074702B">
        <w:rPr>
          <w:sz w:val="19"/>
          <w:szCs w:val="19"/>
        </w:rPr>
        <w:t>Dixons City Academy has in place:</w:t>
      </w:r>
    </w:p>
    <w:p w:rsidR="008F7416" w:rsidRPr="0074702B" w:rsidRDefault="008F7416" w:rsidP="008D0CA8">
      <w:pPr>
        <w:pStyle w:val="NoSpacing"/>
        <w:rPr>
          <w:sz w:val="19"/>
          <w:szCs w:val="19"/>
        </w:rPr>
      </w:pPr>
    </w:p>
    <w:p w:rsidR="0074702B" w:rsidRPr="008D0CA8" w:rsidRDefault="0074702B" w:rsidP="008F7416">
      <w:pPr>
        <w:pStyle w:val="NoSpacing"/>
        <w:numPr>
          <w:ilvl w:val="0"/>
          <w:numId w:val="5"/>
        </w:numPr>
        <w:rPr>
          <w:sz w:val="19"/>
          <w:szCs w:val="19"/>
        </w:rPr>
      </w:pPr>
      <w:r w:rsidRPr="008D0CA8">
        <w:rPr>
          <w:sz w:val="19"/>
          <w:szCs w:val="19"/>
        </w:rPr>
        <w:t xml:space="preserve">robust processes to prevent and identify malpractice, as outlined in section 3.3 of  the JCQ publication </w:t>
      </w:r>
      <w:r w:rsidRPr="008D0CA8">
        <w:rPr>
          <w:rFonts w:eastAsia="Arial"/>
          <w:sz w:val="19"/>
          <w:szCs w:val="19"/>
        </w:rPr>
        <w:t>Suspected Malpractice: Policies and Procedures</w:t>
      </w:r>
      <w:r w:rsidRPr="008D0CA8">
        <w:rPr>
          <w:sz w:val="19"/>
          <w:szCs w:val="19"/>
        </w:rPr>
        <w:t xml:space="preserve"> </w:t>
      </w:r>
    </w:p>
    <w:p w:rsidR="0074702B" w:rsidRDefault="0074702B" w:rsidP="008D0CA8">
      <w:pPr>
        <w:pStyle w:val="NoSpacing"/>
        <w:rPr>
          <w:sz w:val="19"/>
          <w:szCs w:val="19"/>
        </w:rPr>
      </w:pPr>
      <w:r w:rsidRPr="0074702B">
        <w:rPr>
          <w:sz w:val="19"/>
          <w:szCs w:val="19"/>
        </w:rPr>
        <w:t xml:space="preserve"> </w:t>
      </w: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lastRenderedPageBreak/>
        <w:t>Identification and reporting of malpractice</w:t>
      </w:r>
    </w:p>
    <w:p w:rsidR="0074702B" w:rsidRDefault="0074702B" w:rsidP="008F7416">
      <w:pPr>
        <w:pStyle w:val="NoSpacing"/>
        <w:numPr>
          <w:ilvl w:val="0"/>
          <w:numId w:val="5"/>
        </w:numPr>
        <w:rPr>
          <w:sz w:val="19"/>
          <w:szCs w:val="19"/>
        </w:rPr>
      </w:pPr>
      <w:r w:rsidRPr="0074702B">
        <w:rPr>
          <w:sz w:val="19"/>
          <w:szCs w:val="19"/>
        </w:rPr>
        <w:t xml:space="preserve">The head of centre will notify the appropriate awarding body immediately of all alleged, suspected or actual incidents of malpractice, using the appropriate forms, and will conduct any investigation and gathering of information in accordance with the requirements of the JCQ publication </w:t>
      </w:r>
      <w:r w:rsidRPr="0074702B">
        <w:rPr>
          <w:rFonts w:eastAsia="Arial"/>
          <w:sz w:val="19"/>
          <w:szCs w:val="19"/>
        </w:rPr>
        <w:t>Suspected Malpractice: Policies and Procedures</w:t>
      </w:r>
      <w:r w:rsidRPr="0074702B">
        <w:rPr>
          <w:sz w:val="19"/>
          <w:szCs w:val="19"/>
        </w:rPr>
        <w:t xml:space="preserve"> </w:t>
      </w:r>
    </w:p>
    <w:p w:rsidR="00887AEA" w:rsidRDefault="0074702B" w:rsidP="008F7416">
      <w:pPr>
        <w:pStyle w:val="NoSpacing"/>
        <w:numPr>
          <w:ilvl w:val="0"/>
          <w:numId w:val="5"/>
        </w:numPr>
        <w:rPr>
          <w:sz w:val="19"/>
          <w:szCs w:val="19"/>
        </w:rPr>
      </w:pPr>
      <w:r w:rsidRPr="008F7416">
        <w:rPr>
          <w:sz w:val="19"/>
          <w:szCs w:val="19"/>
        </w:rPr>
        <w:t xml:space="preserve">Form JCQ/M1 will be used to notify an awarding body of an incident of candidate malpractice. </w:t>
      </w:r>
    </w:p>
    <w:p w:rsidR="0074702B" w:rsidRDefault="0074702B" w:rsidP="008F7416">
      <w:pPr>
        <w:pStyle w:val="NoSpacing"/>
        <w:numPr>
          <w:ilvl w:val="0"/>
          <w:numId w:val="5"/>
        </w:numPr>
        <w:rPr>
          <w:sz w:val="19"/>
          <w:szCs w:val="19"/>
        </w:rPr>
      </w:pPr>
      <w:r w:rsidRPr="008F7416">
        <w:rPr>
          <w:sz w:val="19"/>
          <w:szCs w:val="19"/>
        </w:rPr>
        <w:t xml:space="preserve">Form JCQ/M2 will be used to notify an awarding body of an incident of suspected staff malpractice/maladministration </w:t>
      </w:r>
    </w:p>
    <w:p w:rsidR="0074702B" w:rsidRDefault="0074702B" w:rsidP="008F7416">
      <w:pPr>
        <w:pStyle w:val="NoSpacing"/>
        <w:numPr>
          <w:ilvl w:val="0"/>
          <w:numId w:val="5"/>
        </w:numPr>
        <w:rPr>
          <w:sz w:val="19"/>
          <w:szCs w:val="19"/>
        </w:rPr>
      </w:pPr>
      <w:r w:rsidRPr="008F7416">
        <w:rPr>
          <w:sz w:val="19"/>
          <w:szCs w:val="19"/>
        </w:rPr>
        <w:t xml:space="preserve">Malpractice by a candidate discovered in a controlled assessment, coursework or non- examination assessment component prior to the candidate signing the declaration of authentication need not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w:t>
      </w:r>
    </w:p>
    <w:p w:rsidR="0074702B" w:rsidRDefault="0074702B" w:rsidP="008F7416">
      <w:pPr>
        <w:pStyle w:val="NoSpacing"/>
        <w:numPr>
          <w:ilvl w:val="0"/>
          <w:numId w:val="5"/>
        </w:numPr>
        <w:rPr>
          <w:sz w:val="19"/>
          <w:szCs w:val="19"/>
        </w:rPr>
      </w:pPr>
      <w:r w:rsidRPr="008F7416">
        <w:rPr>
          <w:sz w:val="19"/>
          <w:szCs w:val="19"/>
        </w:rPr>
        <w:t xml:space="preserve">If, in the view of the investigator, there is sufficient evidence to implicate an individual in malpractice, that individual (a candidate or a member of staff) will be informed of the rights of accused individuals </w:t>
      </w:r>
    </w:p>
    <w:p w:rsidR="008D0CA8" w:rsidRDefault="0074702B" w:rsidP="008F7416">
      <w:pPr>
        <w:pStyle w:val="NoSpacing"/>
        <w:numPr>
          <w:ilvl w:val="0"/>
          <w:numId w:val="5"/>
        </w:numPr>
        <w:rPr>
          <w:sz w:val="19"/>
          <w:szCs w:val="19"/>
        </w:rPr>
      </w:pPr>
      <w:r w:rsidRPr="008F7416">
        <w:rPr>
          <w:sz w:val="19"/>
          <w:szCs w:val="19"/>
        </w:rPr>
        <w:t>Once the information gathering has concluded, the head of centre (or other appointed information-gatherer) will submit a written report summarising the case to the relevant awarding body, accompanied by the information obtained during the cours</w:t>
      </w:r>
      <w:r w:rsidR="008D0CA8" w:rsidRPr="008F7416">
        <w:rPr>
          <w:sz w:val="19"/>
          <w:szCs w:val="19"/>
        </w:rPr>
        <w:t>e of their enquiries</w:t>
      </w:r>
    </w:p>
    <w:p w:rsidR="0074702B" w:rsidRDefault="0074702B" w:rsidP="008F7416">
      <w:pPr>
        <w:pStyle w:val="NoSpacing"/>
        <w:numPr>
          <w:ilvl w:val="0"/>
          <w:numId w:val="5"/>
        </w:numPr>
        <w:rPr>
          <w:sz w:val="19"/>
          <w:szCs w:val="19"/>
        </w:rPr>
      </w:pPr>
      <w:r w:rsidRPr="008F7416">
        <w:rPr>
          <w:sz w:val="19"/>
          <w:szCs w:val="19"/>
        </w:rPr>
        <w:t xml:space="preserve">Form JCQ/M1 will be used when reporting candidate cases; for centre staff, form JCQ/M3 will be used </w:t>
      </w:r>
    </w:p>
    <w:p w:rsidR="0074702B" w:rsidRPr="008F7416" w:rsidRDefault="0074702B" w:rsidP="008F7416">
      <w:pPr>
        <w:pStyle w:val="NoSpacing"/>
        <w:numPr>
          <w:ilvl w:val="0"/>
          <w:numId w:val="5"/>
        </w:numPr>
        <w:rPr>
          <w:sz w:val="19"/>
          <w:szCs w:val="19"/>
        </w:rPr>
      </w:pPr>
      <w:r w:rsidRPr="008F7416">
        <w:rPr>
          <w:sz w:val="19"/>
          <w:szCs w:val="19"/>
        </w:rPr>
        <w:t xml:space="preserve">The awarding body will decide on the basis of the report, and any supporting documentation, whether there is evidence of malpractice and if any further investigation is required. The head of centre will be informed accordingly </w:t>
      </w:r>
    </w:p>
    <w:p w:rsidR="0074702B" w:rsidRPr="0074702B" w:rsidRDefault="0074702B" w:rsidP="008D0CA8">
      <w:pPr>
        <w:pStyle w:val="NoSpacing"/>
        <w:rPr>
          <w:sz w:val="19"/>
          <w:szCs w:val="19"/>
        </w:rPr>
      </w:pPr>
      <w:r w:rsidRPr="0074702B">
        <w:rPr>
          <w:sz w:val="19"/>
          <w:szCs w:val="19"/>
        </w:rPr>
        <w:t xml:space="preserve"> </w:t>
      </w: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Communicating malpractice decisions</w:t>
      </w:r>
    </w:p>
    <w:p w:rsidR="0074702B" w:rsidRPr="0074702B" w:rsidRDefault="0074702B" w:rsidP="008D0CA8">
      <w:pPr>
        <w:pStyle w:val="NoSpacing"/>
        <w:rPr>
          <w:sz w:val="19"/>
          <w:szCs w:val="19"/>
        </w:rPr>
      </w:pPr>
      <w:r w:rsidRPr="0074702B">
        <w:rPr>
          <w:sz w:val="19"/>
          <w:szCs w:val="19"/>
        </w:rPr>
        <w:t xml:space="preserve">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w:t>
      </w:r>
    </w:p>
    <w:p w:rsidR="0074702B" w:rsidRPr="0074702B" w:rsidRDefault="0074702B" w:rsidP="008D0CA8">
      <w:pPr>
        <w:pStyle w:val="NoSpacing"/>
        <w:rPr>
          <w:sz w:val="19"/>
          <w:szCs w:val="19"/>
        </w:rPr>
      </w:pPr>
      <w:r w:rsidRPr="0074702B">
        <w:rPr>
          <w:sz w:val="19"/>
          <w:szCs w:val="19"/>
        </w:rPr>
        <w:t xml:space="preserve"> </w:t>
      </w:r>
    </w:p>
    <w:p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Appeals against decisions made in cases of malpractice</w:t>
      </w:r>
    </w:p>
    <w:p w:rsidR="0074702B" w:rsidRDefault="0074702B" w:rsidP="008D0CA8">
      <w:pPr>
        <w:pStyle w:val="NoSpacing"/>
        <w:rPr>
          <w:sz w:val="19"/>
          <w:szCs w:val="19"/>
        </w:rPr>
      </w:pPr>
      <w:r w:rsidRPr="0074702B">
        <w:rPr>
          <w:sz w:val="19"/>
          <w:szCs w:val="19"/>
        </w:rPr>
        <w:t>Dixons City Academy will:</w:t>
      </w:r>
    </w:p>
    <w:p w:rsidR="008F7416" w:rsidRPr="0074702B" w:rsidRDefault="008F7416" w:rsidP="008D0CA8">
      <w:pPr>
        <w:pStyle w:val="NoSpacing"/>
        <w:rPr>
          <w:sz w:val="19"/>
          <w:szCs w:val="19"/>
        </w:rPr>
      </w:pPr>
    </w:p>
    <w:p w:rsidR="001223CD" w:rsidRDefault="0074702B" w:rsidP="001223CD">
      <w:pPr>
        <w:pStyle w:val="NoSpacing"/>
        <w:numPr>
          <w:ilvl w:val="0"/>
          <w:numId w:val="6"/>
        </w:numPr>
        <w:rPr>
          <w:sz w:val="19"/>
          <w:szCs w:val="19"/>
        </w:rPr>
      </w:pPr>
      <w:r w:rsidRPr="0074702B">
        <w:rPr>
          <w:sz w:val="19"/>
          <w:szCs w:val="19"/>
        </w:rPr>
        <w:t>Provide the individual with information on the process for submitting an appeal, where relevant</w:t>
      </w:r>
      <w:r w:rsidR="001223CD">
        <w:rPr>
          <w:sz w:val="19"/>
          <w:szCs w:val="19"/>
        </w:rPr>
        <w:t>.</w:t>
      </w:r>
    </w:p>
    <w:p w:rsidR="001223CD" w:rsidRPr="001223CD" w:rsidRDefault="0074702B" w:rsidP="008D0CA8">
      <w:pPr>
        <w:pStyle w:val="NoSpacing"/>
        <w:numPr>
          <w:ilvl w:val="0"/>
          <w:numId w:val="6"/>
        </w:numPr>
        <w:rPr>
          <w:sz w:val="19"/>
          <w:szCs w:val="19"/>
        </w:rPr>
      </w:pPr>
      <w:r w:rsidRPr="001223CD">
        <w:rPr>
          <w:sz w:val="19"/>
          <w:szCs w:val="19"/>
        </w:rPr>
        <w:t xml:space="preserve">Refer to further information and follow the process provided in the JCQ publication </w:t>
      </w:r>
      <w:r w:rsidR="001223CD" w:rsidRPr="001223CD">
        <w:rPr>
          <w:rFonts w:eastAsia="Arial"/>
          <w:sz w:val="19"/>
          <w:szCs w:val="19"/>
        </w:rPr>
        <w:t>A guide to the awarding bodies'</w:t>
      </w:r>
    </w:p>
    <w:p w:rsidR="0074702B" w:rsidRPr="0074702B" w:rsidRDefault="001223CD" w:rsidP="008D0CA8">
      <w:pPr>
        <w:pStyle w:val="NoSpacing"/>
        <w:rPr>
          <w:sz w:val="19"/>
          <w:szCs w:val="19"/>
        </w:rPr>
      </w:pPr>
      <w:r>
        <w:rPr>
          <w:rFonts w:eastAsia="Arial"/>
          <w:sz w:val="19"/>
          <w:szCs w:val="19"/>
        </w:rPr>
        <w:t xml:space="preserve"> </w:t>
      </w:r>
      <w:r>
        <w:rPr>
          <w:rFonts w:eastAsia="Arial"/>
          <w:sz w:val="19"/>
          <w:szCs w:val="19"/>
        </w:rPr>
        <w:tab/>
      </w:r>
      <w:r w:rsidR="0074702B" w:rsidRPr="0074702B">
        <w:rPr>
          <w:rFonts w:eastAsia="Arial"/>
          <w:sz w:val="19"/>
          <w:szCs w:val="19"/>
        </w:rPr>
        <w:t>appeals processes</w:t>
      </w:r>
      <w:bookmarkEnd w:id="3"/>
      <w:r>
        <w:rPr>
          <w:sz w:val="19"/>
          <w:szCs w:val="19"/>
        </w:rPr>
        <w:t>.</w:t>
      </w:r>
    </w:p>
    <w:sectPr w:rsidR="0074702B" w:rsidRPr="0074702B">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1C" w:rsidRDefault="00BF741C">
      <w:pPr>
        <w:spacing w:after="0"/>
      </w:pPr>
      <w:r>
        <w:separator/>
      </w:r>
    </w:p>
  </w:endnote>
  <w:endnote w:type="continuationSeparator" w:id="0">
    <w:p w:rsidR="00BF741C" w:rsidRDefault="00BF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1C" w:rsidRDefault="00BF741C">
    <w:pPr>
      <w:pStyle w:val="Footer"/>
      <w:jc w:val="right"/>
      <w:rPr>
        <w:rFonts w:cs="Arial"/>
        <w:sz w:val="20"/>
        <w:szCs w:val="20"/>
      </w:rPr>
    </w:pPr>
  </w:p>
  <w:p w:rsidR="00BF741C" w:rsidRDefault="00BF741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B07E6">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1C" w:rsidRDefault="00BF741C">
    <w:pPr>
      <w:pStyle w:val="Default"/>
      <w:jc w:val="right"/>
      <w:rPr>
        <w:rFonts w:ascii="Rockwell" w:hAnsi="Rockwell"/>
        <w:b/>
        <w:i/>
        <w:sz w:val="18"/>
        <w:szCs w:val="18"/>
      </w:rPr>
    </w:pPr>
    <w:r>
      <w:rPr>
        <w:rFonts w:ascii="Rockwell" w:hAnsi="Rockwell"/>
        <w:b/>
        <w:noProof/>
        <w:sz w:val="18"/>
        <w:szCs w:val="18"/>
      </w:rPr>
      <w:t xml:space="preserve">Non-examination assessment policy template </w:t>
    </w:r>
    <w:r>
      <w:rPr>
        <w:rFonts w:ascii="Rockwell" w:hAnsi="Rockwell"/>
        <w:noProof/>
        <w:sz w:val="18"/>
        <w:szCs w:val="18"/>
      </w:rPr>
      <w:t>(2020/21)</w:t>
    </w:r>
  </w:p>
  <w:p w:rsidR="00BF741C" w:rsidRDefault="00BF741C">
    <w:pPr>
      <w:shd w:val="clear" w:color="auto" w:fill="FFFFFF"/>
      <w:spacing w:after="0"/>
      <w:jc w:val="right"/>
      <w:rPr>
        <w:rFonts w:cs="Arial"/>
        <w:sz w:val="20"/>
        <w:szCs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1C" w:rsidRDefault="00BF741C">
      <w:pPr>
        <w:spacing w:after="0"/>
      </w:pPr>
      <w:r>
        <w:separator/>
      </w:r>
    </w:p>
  </w:footnote>
  <w:footnote w:type="continuationSeparator" w:id="0">
    <w:p w:rsidR="00BF741C" w:rsidRDefault="00BF74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60DA"/>
    <w:multiLevelType w:val="hybridMultilevel"/>
    <w:tmpl w:val="C64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36780"/>
    <w:multiLevelType w:val="hybridMultilevel"/>
    <w:tmpl w:val="F138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32672"/>
    <w:multiLevelType w:val="hybridMultilevel"/>
    <w:tmpl w:val="170E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759A"/>
    <w:multiLevelType w:val="hybridMultilevel"/>
    <w:tmpl w:val="EA5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42731"/>
    <w:multiLevelType w:val="hybridMultilevel"/>
    <w:tmpl w:val="8F0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96015"/>
    <w:multiLevelType w:val="hybridMultilevel"/>
    <w:tmpl w:val="7D88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E5"/>
    <w:rsid w:val="001223CD"/>
    <w:rsid w:val="002F5BC9"/>
    <w:rsid w:val="0037797C"/>
    <w:rsid w:val="00701A5A"/>
    <w:rsid w:val="0074702B"/>
    <w:rsid w:val="007B07E6"/>
    <w:rsid w:val="007E61E5"/>
    <w:rsid w:val="00887AEA"/>
    <w:rsid w:val="008B30F5"/>
    <w:rsid w:val="008D0CA8"/>
    <w:rsid w:val="008F7416"/>
    <w:rsid w:val="00BF741C"/>
    <w:rsid w:val="00C5094B"/>
    <w:rsid w:val="00C80D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D63A5"/>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customStyle="1" w:styleId="DCATableSubHeader">
    <w:name w:val="DCA_Table_SubHeader"/>
    <w:basedOn w:val="Normal"/>
    <w:qFormat/>
    <w:pPr>
      <w:spacing w:before="40" w:after="120" w:line="228" w:lineRule="exact"/>
    </w:pPr>
    <w:rPr>
      <w:rFonts w:asciiTheme="minorHAnsi" w:hAnsiTheme="minorHAnsi"/>
      <w:b/>
      <w:sz w:val="19"/>
      <w:szCs w:val="19"/>
      <w:lang w:eastAsia="en-US"/>
    </w:rPr>
  </w:style>
  <w:style w:type="paragraph" w:customStyle="1" w:styleId="DCATableColHeader">
    <w:name w:val="DCA_TableColHeader"/>
    <w:basedOn w:val="Normal"/>
    <w:qFormat/>
    <w:pPr>
      <w:spacing w:before="80"/>
    </w:pPr>
    <w:rPr>
      <w:rFonts w:asciiTheme="minorHAnsi" w:hAnsiTheme="minorHAnsi"/>
      <w:b/>
      <w:noProof/>
      <w:color w:val="174489"/>
      <w:sz w:val="19"/>
      <w:szCs w:val="19"/>
    </w:rPr>
  </w:style>
  <w:style w:type="paragraph" w:customStyle="1" w:styleId="DCATableRowHeader">
    <w:name w:val="DCA_TableRowHeader"/>
    <w:basedOn w:val="Normal"/>
    <w:qFormat/>
    <w:pPr>
      <w:spacing w:before="80"/>
    </w:pPr>
    <w:rPr>
      <w:rFonts w:asciiTheme="minorHAnsi" w:hAnsiTheme="minorHAnsi"/>
      <w:b/>
      <w:noProof/>
      <w:color w:val="174489"/>
      <w:sz w:val="19"/>
      <w:szCs w:val="19"/>
    </w:rPr>
  </w:style>
  <w:style w:type="paragraph" w:customStyle="1" w:styleId="DCATableText">
    <w:name w:val="DCA_TableText"/>
    <w:basedOn w:val="Normal"/>
    <w:qFormat/>
    <w:pPr>
      <w:spacing w:before="80" w:line="228" w:lineRule="exact"/>
      <w:jc w:val="both"/>
    </w:pPr>
    <w:rPr>
      <w:rFonts w:asciiTheme="minorHAnsi" w:hAnsiTheme="minorHAnsi"/>
      <w:sz w:val="19"/>
      <w:szCs w:val="19"/>
      <w:lang w:eastAsia="en-US"/>
    </w:rPr>
  </w:style>
  <w:style w:type="paragraph" w:customStyle="1" w:styleId="DCAText">
    <w:name w:val="DCA_Text"/>
    <w:basedOn w:val="Normal"/>
    <w:qFormat/>
    <w:pPr>
      <w:spacing w:before="120" w:after="120" w:line="228" w:lineRule="exact"/>
      <w:jc w:val="both"/>
    </w:pPr>
    <w:rPr>
      <w:rFonts w:asciiTheme="minorHAnsi" w:hAnsi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87247892">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6C803F19D55429917EA32B759E5FA" ma:contentTypeVersion="10" ma:contentTypeDescription="Create a new document." ma:contentTypeScope="" ma:versionID="143936c406644abf7f5d73f9e4bb67f3">
  <xsd:schema xmlns:xsd="http://www.w3.org/2001/XMLSchema" xmlns:xs="http://www.w3.org/2001/XMLSchema" xmlns:p="http://schemas.microsoft.com/office/2006/metadata/properties" xmlns:ns2="c707f9c4-d289-4006-976d-ebd063734230" xmlns:ns3="f93501a9-7f8d-4fc9-b442-d10844432fd9" targetNamespace="http://schemas.microsoft.com/office/2006/metadata/properties" ma:root="true" ma:fieldsID="7c3bce4124e3c06e0a68ccd09c6492a0" ns2:_="" ns3:_="">
    <xsd:import namespace="c707f9c4-d289-4006-976d-ebd063734230"/>
    <xsd:import namespace="f93501a9-7f8d-4fc9-b442-d10844432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f9c4-d289-4006-976d-ebd063734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501a9-7f8d-4fc9-b442-d10844432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2EB9B4-F3BA-4A99-B1EE-FAD98D966480}">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c707f9c4-d289-4006-976d-ebd063734230"/>
    <ds:schemaRef ds:uri="http://schemas.openxmlformats.org/package/2006/metadata/core-properties"/>
    <ds:schemaRef ds:uri="http://purl.org/dc/elements/1.1/"/>
    <ds:schemaRef ds:uri="f93501a9-7f8d-4fc9-b442-d10844432fd9"/>
    <ds:schemaRef ds:uri="http://www.w3.org/XML/1998/namespace"/>
    <ds:schemaRef ds:uri="http://purl.org/dc/dcmitype/"/>
  </ds:schemaRefs>
</ds:datastoreItem>
</file>

<file path=customXml/itemProps3.xml><?xml version="1.0" encoding="utf-8"?>
<ds:datastoreItem xmlns:ds="http://schemas.openxmlformats.org/officeDocument/2006/customXml" ds:itemID="{7405BC15-0AC9-472C-B5D3-C9F63F558566}">
  <ds:schemaRefs>
    <ds:schemaRef ds:uri="http://schemas.microsoft.com/sharepoint/v3/contenttype/forms"/>
  </ds:schemaRefs>
</ds:datastoreItem>
</file>

<file path=customXml/itemProps4.xml><?xml version="1.0" encoding="utf-8"?>
<ds:datastoreItem xmlns:ds="http://schemas.openxmlformats.org/officeDocument/2006/customXml" ds:itemID="{14A863C9-3431-498B-9CF1-87D155D1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7f9c4-d289-4006-976d-ebd063734230"/>
    <ds:schemaRef ds:uri="f93501a9-7f8d-4fc9-b442-d10844432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B9497-77F6-4A89-BFB4-73422317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Hayley Crossland - Staff - DCA</cp:lastModifiedBy>
  <cp:revision>6</cp:revision>
  <cp:lastPrinted>2020-10-12T11:30:00Z</cp:lastPrinted>
  <dcterms:created xsi:type="dcterms:W3CDTF">2022-10-10T09:36:00Z</dcterms:created>
  <dcterms:modified xsi:type="dcterms:W3CDTF">2022-10-21T11:02:00Z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0x010100DC56C803F19D55429917EA32B759E5FA</vt:lpwstr>
  </property>
</Properties>
</file>