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A9" w:rsidRDefault="00973AA9">
      <w:pPr>
        <w:rPr>
          <w:color w:val="003399"/>
          <w:sz w:val="96"/>
          <w:szCs w:val="96"/>
        </w:rPr>
      </w:pPr>
    </w:p>
    <w:p w:rsidR="00973AA9" w:rsidRDefault="00973AA9">
      <w:pPr>
        <w:rPr>
          <w:color w:val="003399"/>
          <w:sz w:val="96"/>
          <w:szCs w:val="96"/>
        </w:rPr>
      </w:pPr>
    </w:p>
    <w:p w:rsidR="00973AA9" w:rsidRDefault="00973AA9">
      <w:pPr>
        <w:rPr>
          <w:color w:val="003399"/>
          <w:sz w:val="96"/>
          <w:szCs w:val="96"/>
        </w:rPr>
      </w:pPr>
    </w:p>
    <w:p w:rsidR="00973AA9" w:rsidRDefault="00973AA9">
      <w:pPr>
        <w:rPr>
          <w:color w:val="003399"/>
          <w:sz w:val="96"/>
          <w:szCs w:val="96"/>
        </w:rPr>
      </w:pPr>
    </w:p>
    <w:p w:rsidR="00973AA9" w:rsidRDefault="00973AA9">
      <w:pPr>
        <w:pStyle w:val="DCAHeader"/>
      </w:pPr>
    </w:p>
    <w:p w:rsidR="00973AA9" w:rsidRDefault="004449F4">
      <w:pPr>
        <w:pStyle w:val="DCAHeader"/>
      </w:pPr>
      <w:r>
        <w:t>Internal Appeals Procedures</w:t>
      </w:r>
    </w:p>
    <w:p w:rsidR="00973AA9" w:rsidRDefault="00E57295">
      <w:pPr>
        <w:pStyle w:val="DCAHeader"/>
      </w:pPr>
      <w:r>
        <w:t>2022</w:t>
      </w:r>
      <w:r w:rsidR="004449F4">
        <w:t>/2</w:t>
      </w:r>
      <w:r>
        <w:t>3</w:t>
      </w:r>
    </w:p>
    <w:p w:rsidR="00973AA9" w:rsidRDefault="00973AA9">
      <w:pPr>
        <w:pStyle w:val="DCAHeader"/>
      </w:pPr>
    </w:p>
    <w:p w:rsidR="00973AA9" w:rsidRDefault="00973AA9">
      <w:pPr>
        <w:tabs>
          <w:tab w:val="left" w:pos="2655"/>
        </w:tabs>
        <w:spacing w:before="120" w:after="120" w:line="276" w:lineRule="auto"/>
        <w:rPr>
          <w:rFonts w:cs="Arial"/>
          <w:b/>
          <w:color w:val="FF3300"/>
        </w:rPr>
      </w:pPr>
    </w:p>
    <w:p w:rsidR="00973AA9" w:rsidRDefault="004449F4">
      <w:pPr>
        <w:pStyle w:val="DCAHeader"/>
        <w:rPr>
          <w:rFonts w:cs="Arial"/>
          <w:b w:val="0"/>
          <w:color w:val="FF3300"/>
        </w:rPr>
      </w:pPr>
      <w:r>
        <w:t xml:space="preserve">Reviewed </w:t>
      </w:r>
      <w:r w:rsidR="00E57295">
        <w:t>October 2022</w:t>
      </w:r>
      <w:r>
        <w:rPr>
          <w:rFonts w:cs="Arial"/>
          <w:b w:val="0"/>
          <w:color w:val="FF3300"/>
        </w:rPr>
        <w:br w:type="page"/>
      </w:r>
    </w:p>
    <w:p w:rsidR="00973AA9" w:rsidRDefault="004449F4">
      <w:pPr>
        <w:pStyle w:val="Headinglevel1"/>
        <w:spacing w:before="240" w:line="276" w:lineRule="auto"/>
        <w:rPr>
          <w:rFonts w:asciiTheme="minorHAnsi" w:hAnsiTheme="minorHAnsi" w:cstheme="minorHAnsi"/>
          <w:color w:val="1F497D" w:themeColor="text2"/>
          <w:sz w:val="23"/>
          <w:szCs w:val="23"/>
        </w:rPr>
      </w:pPr>
      <w:bookmarkStart w:id="0" w:name="_Toc490256598"/>
      <w:bookmarkStart w:id="1" w:name="_Toc53399457"/>
      <w:r>
        <w:rPr>
          <w:rFonts w:asciiTheme="minorHAnsi" w:hAnsiTheme="minorHAnsi" w:cstheme="minorHAnsi"/>
          <w:color w:val="1F497D" w:themeColor="text2"/>
          <w:sz w:val="23"/>
          <w:szCs w:val="23"/>
        </w:rPr>
        <w:lastRenderedPageBreak/>
        <w:t xml:space="preserve">Key staff involved </w:t>
      </w:r>
      <w:bookmarkEnd w:id="0"/>
      <w:r>
        <w:rPr>
          <w:rFonts w:asciiTheme="minorHAnsi" w:hAnsiTheme="minorHAnsi" w:cstheme="minorHAnsi"/>
          <w:color w:val="1F497D" w:themeColor="text2"/>
          <w:sz w:val="23"/>
          <w:szCs w:val="23"/>
        </w:rPr>
        <w:t>in internal appeals procedures</w:t>
      </w:r>
      <w:bookmarkEnd w:id="1"/>
    </w:p>
    <w:tbl>
      <w:tblPr>
        <w:tblW w:w="0" w:type="auto"/>
        <w:tblBorders>
          <w:insideH w:val="single" w:sz="4" w:space="0" w:color="174489"/>
          <w:insideV w:val="single" w:sz="4" w:space="0" w:color="174489"/>
        </w:tblBorders>
        <w:tblLook w:val="04A0" w:firstRow="1" w:lastRow="0" w:firstColumn="1" w:lastColumn="0" w:noHBand="0" w:noVBand="1"/>
      </w:tblPr>
      <w:tblGrid>
        <w:gridCol w:w="1418"/>
        <w:gridCol w:w="4442"/>
      </w:tblGrid>
      <w:tr w:rsidR="00973AA9">
        <w:tc>
          <w:tcPr>
            <w:tcW w:w="1418" w:type="dxa"/>
          </w:tcPr>
          <w:p w:rsidR="00973AA9" w:rsidRDefault="004449F4">
            <w:pPr>
              <w:pStyle w:val="DCATableSubHeader"/>
              <w:spacing w:before="80" w:after="80"/>
            </w:pPr>
            <w:r>
              <w:rPr>
                <w:noProof/>
                <w:color w:val="174489"/>
                <w:lang w:eastAsia="en-GB"/>
              </w:rPr>
              <w:t>Role</w:t>
            </w:r>
          </w:p>
        </w:tc>
        <w:tc>
          <w:tcPr>
            <w:tcW w:w="4442" w:type="dxa"/>
          </w:tcPr>
          <w:p w:rsidR="00973AA9" w:rsidRDefault="004449F4">
            <w:pPr>
              <w:pStyle w:val="DCATableColHeader"/>
            </w:pPr>
            <w:r>
              <w:t>Name(s)</w:t>
            </w:r>
          </w:p>
        </w:tc>
      </w:tr>
      <w:tr w:rsidR="00973AA9">
        <w:tc>
          <w:tcPr>
            <w:tcW w:w="1418" w:type="dxa"/>
          </w:tcPr>
          <w:p w:rsidR="00973AA9" w:rsidRDefault="004449F4">
            <w:pPr>
              <w:pStyle w:val="DCATableColHeader"/>
            </w:pPr>
            <w:r>
              <w:t>Head of centre</w:t>
            </w:r>
          </w:p>
        </w:tc>
        <w:tc>
          <w:tcPr>
            <w:tcW w:w="4442" w:type="dxa"/>
          </w:tcPr>
          <w:p w:rsidR="00973AA9" w:rsidRDefault="004449F4">
            <w:pPr>
              <w:pStyle w:val="DCATableText"/>
            </w:pPr>
            <w:r>
              <w:t>Mike Feely</w:t>
            </w:r>
          </w:p>
        </w:tc>
      </w:tr>
      <w:tr w:rsidR="00973AA9">
        <w:tc>
          <w:tcPr>
            <w:tcW w:w="1418" w:type="dxa"/>
          </w:tcPr>
          <w:p w:rsidR="00973AA9" w:rsidRDefault="004449F4">
            <w:pPr>
              <w:pStyle w:val="DCATableColHeader"/>
            </w:pPr>
            <w:r>
              <w:t>Senior leader(s)</w:t>
            </w:r>
          </w:p>
        </w:tc>
        <w:tc>
          <w:tcPr>
            <w:tcW w:w="4442" w:type="dxa"/>
          </w:tcPr>
          <w:p w:rsidR="00973AA9" w:rsidRDefault="004449F4">
            <w:pPr>
              <w:pStyle w:val="DCATableText"/>
            </w:pPr>
            <w:r>
              <w:t>Jo Orton, Krys McAvan</w:t>
            </w:r>
          </w:p>
        </w:tc>
      </w:tr>
      <w:tr w:rsidR="00973AA9">
        <w:tc>
          <w:tcPr>
            <w:tcW w:w="1418" w:type="dxa"/>
          </w:tcPr>
          <w:p w:rsidR="00973AA9" w:rsidRDefault="004449F4">
            <w:pPr>
              <w:pStyle w:val="DCATableColHeader"/>
            </w:pPr>
            <w:r>
              <w:t>Exams officer</w:t>
            </w:r>
          </w:p>
        </w:tc>
        <w:tc>
          <w:tcPr>
            <w:tcW w:w="4442" w:type="dxa"/>
          </w:tcPr>
          <w:p w:rsidR="00973AA9" w:rsidRDefault="00A16866">
            <w:pPr>
              <w:pStyle w:val="DCATableText"/>
            </w:pPr>
            <w:r>
              <w:t>Hayley Crossland</w:t>
            </w:r>
          </w:p>
        </w:tc>
      </w:tr>
    </w:tbl>
    <w:p w:rsidR="00973AA9" w:rsidRDefault="004449F4">
      <w:pPr>
        <w:spacing w:after="200" w:line="276" w:lineRule="auto"/>
        <w:rPr>
          <w:rFonts w:cs="Arial"/>
          <w:b/>
          <w:noProof/>
          <w:color w:val="003399"/>
          <w:sz w:val="28"/>
          <w:szCs w:val="28"/>
        </w:rPr>
      </w:pPr>
      <w:r>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rsidR="00973AA9" w:rsidRDefault="004449F4">
          <w:pPr>
            <w:spacing w:after="200" w:line="276" w:lineRule="auto"/>
            <w:rPr>
              <w:rFonts w:asciiTheme="minorHAnsi" w:hAnsiTheme="minorHAnsi" w:cstheme="minorHAnsi"/>
              <w:b/>
              <w:bCs/>
              <w:noProof/>
              <w:color w:val="1F497D" w:themeColor="text2"/>
              <w:sz w:val="23"/>
              <w:szCs w:val="23"/>
            </w:rPr>
          </w:pPr>
          <w:r>
            <w:rPr>
              <w:rFonts w:asciiTheme="minorHAnsi" w:hAnsiTheme="minorHAnsi" w:cstheme="minorHAnsi"/>
              <w:b/>
              <w:bCs/>
              <w:color w:val="1F497D" w:themeColor="text2"/>
              <w:sz w:val="23"/>
              <w:szCs w:val="23"/>
            </w:rPr>
            <w:t>Contents</w:t>
          </w:r>
        </w:p>
        <w:p w:rsidR="00973AA9" w:rsidRDefault="004449F4">
          <w:pPr>
            <w:pStyle w:val="TOC1"/>
            <w:tabs>
              <w:tab w:val="right" w:leader="dot" w:pos="10439"/>
            </w:tabs>
            <w:rPr>
              <w:rFonts w:asciiTheme="minorHAnsi" w:hAnsiTheme="minorHAnsi" w:cstheme="minorHAnsi"/>
              <w:noProof/>
              <w:sz w:val="19"/>
              <w:szCs w:val="19"/>
            </w:rPr>
          </w:pPr>
          <w:r>
            <w:rPr>
              <w:rFonts w:asciiTheme="minorHAnsi" w:hAnsiTheme="minorHAnsi" w:cstheme="minorHAnsi"/>
              <w:sz w:val="19"/>
              <w:szCs w:val="19"/>
            </w:rPr>
            <w:fldChar w:fldCharType="begin"/>
          </w:r>
          <w:r>
            <w:rPr>
              <w:rFonts w:asciiTheme="minorHAnsi" w:hAnsiTheme="minorHAnsi" w:cstheme="minorHAnsi"/>
              <w:sz w:val="19"/>
              <w:szCs w:val="19"/>
            </w:rPr>
            <w:instrText xml:space="preserve"> TOC \o "1-3" \h \z \u </w:instrText>
          </w:r>
          <w:r>
            <w:rPr>
              <w:rFonts w:asciiTheme="minorHAnsi" w:hAnsiTheme="minorHAnsi" w:cstheme="minorHAnsi"/>
              <w:sz w:val="19"/>
              <w:szCs w:val="19"/>
            </w:rPr>
            <w:fldChar w:fldCharType="separate"/>
          </w:r>
          <w:hyperlink w:anchor="_Toc53399457" w:history="1">
            <w:r>
              <w:rPr>
                <w:rStyle w:val="Hyperlink"/>
                <w:rFonts w:asciiTheme="minorHAnsi" w:hAnsiTheme="minorHAnsi" w:cstheme="minorHAnsi"/>
                <w:noProof/>
                <w:sz w:val="19"/>
                <w:szCs w:val="19"/>
              </w:rPr>
              <w:t>Key staff involved in internal appeals procedures</w:t>
            </w:r>
            <w:r>
              <w:rPr>
                <w:rFonts w:asciiTheme="minorHAnsi" w:hAnsiTheme="minorHAnsi" w:cstheme="minorHAnsi"/>
                <w:noProof/>
                <w:webHidden/>
                <w:sz w:val="19"/>
                <w:szCs w:val="19"/>
              </w:rPr>
              <w:tab/>
            </w:r>
            <w:r>
              <w:rPr>
                <w:rFonts w:asciiTheme="minorHAnsi" w:hAnsiTheme="minorHAnsi" w:cstheme="minorHAnsi"/>
                <w:noProof/>
                <w:webHidden/>
                <w:sz w:val="19"/>
                <w:szCs w:val="19"/>
              </w:rPr>
              <w:fldChar w:fldCharType="begin"/>
            </w:r>
            <w:r>
              <w:rPr>
                <w:rFonts w:asciiTheme="minorHAnsi" w:hAnsiTheme="minorHAnsi" w:cstheme="minorHAnsi"/>
                <w:noProof/>
                <w:webHidden/>
                <w:sz w:val="19"/>
                <w:szCs w:val="19"/>
              </w:rPr>
              <w:instrText xml:space="preserve"> PAGEREF _Toc53399457 \h </w:instrText>
            </w:r>
            <w:r>
              <w:rPr>
                <w:rFonts w:asciiTheme="minorHAnsi" w:hAnsiTheme="minorHAnsi" w:cstheme="minorHAnsi"/>
                <w:noProof/>
                <w:webHidden/>
                <w:sz w:val="19"/>
                <w:szCs w:val="19"/>
              </w:rPr>
            </w:r>
            <w:r>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w:t>
            </w:r>
            <w:r>
              <w:rPr>
                <w:rFonts w:asciiTheme="minorHAnsi" w:hAnsiTheme="minorHAnsi" w:cstheme="minorHAnsi"/>
                <w:noProof/>
                <w:webHidden/>
                <w:sz w:val="19"/>
                <w:szCs w:val="19"/>
              </w:rPr>
              <w:fldChar w:fldCharType="end"/>
            </w:r>
          </w:hyperlink>
        </w:p>
        <w:p w:rsidR="00973AA9" w:rsidRDefault="0002522C">
          <w:pPr>
            <w:pStyle w:val="TOC1"/>
            <w:tabs>
              <w:tab w:val="right" w:leader="dot" w:pos="10439"/>
            </w:tabs>
            <w:rPr>
              <w:rFonts w:asciiTheme="minorHAnsi" w:hAnsiTheme="minorHAnsi" w:cstheme="minorHAnsi"/>
              <w:noProof/>
              <w:sz w:val="19"/>
              <w:szCs w:val="19"/>
            </w:rPr>
          </w:pPr>
          <w:hyperlink w:anchor="_Toc53399458" w:history="1">
            <w:r w:rsidR="004449F4">
              <w:rPr>
                <w:rStyle w:val="Hyperlink"/>
                <w:rFonts w:asciiTheme="minorHAnsi" w:hAnsiTheme="minorHAnsi" w:cstheme="minorHAnsi"/>
                <w:noProof/>
                <w:sz w:val="19"/>
                <w:szCs w:val="19"/>
              </w:rPr>
              <w:t>1. Appeals against internal assessment decisions (centre assessed marks)</w:t>
            </w:r>
            <w:r w:rsidR="004449F4">
              <w:rPr>
                <w:rFonts w:asciiTheme="minorHAnsi" w:hAnsiTheme="minorHAnsi" w:cstheme="minorHAnsi"/>
                <w:noProof/>
                <w:webHidden/>
                <w:sz w:val="19"/>
                <w:szCs w:val="19"/>
              </w:rPr>
              <w:tab/>
            </w:r>
            <w:r w:rsidR="004449F4">
              <w:rPr>
                <w:rFonts w:asciiTheme="minorHAnsi" w:hAnsiTheme="minorHAnsi" w:cstheme="minorHAnsi"/>
                <w:noProof/>
                <w:webHidden/>
                <w:sz w:val="19"/>
                <w:szCs w:val="19"/>
              </w:rPr>
              <w:fldChar w:fldCharType="begin"/>
            </w:r>
            <w:r w:rsidR="004449F4">
              <w:rPr>
                <w:rFonts w:asciiTheme="minorHAnsi" w:hAnsiTheme="minorHAnsi" w:cstheme="minorHAnsi"/>
                <w:noProof/>
                <w:webHidden/>
                <w:sz w:val="19"/>
                <w:szCs w:val="19"/>
              </w:rPr>
              <w:instrText xml:space="preserve"> PAGEREF _Toc53399458 \h </w:instrText>
            </w:r>
            <w:r w:rsidR="004449F4">
              <w:rPr>
                <w:rFonts w:asciiTheme="minorHAnsi" w:hAnsiTheme="minorHAnsi" w:cstheme="minorHAnsi"/>
                <w:noProof/>
                <w:webHidden/>
                <w:sz w:val="19"/>
                <w:szCs w:val="19"/>
              </w:rPr>
            </w:r>
            <w:r w:rsidR="004449F4">
              <w:rPr>
                <w:rFonts w:asciiTheme="minorHAnsi" w:hAnsiTheme="minorHAnsi" w:cstheme="minorHAnsi"/>
                <w:noProof/>
                <w:webHidden/>
                <w:sz w:val="19"/>
                <w:szCs w:val="19"/>
              </w:rPr>
              <w:fldChar w:fldCharType="separate"/>
            </w:r>
            <w:r w:rsidR="004449F4">
              <w:rPr>
                <w:rFonts w:asciiTheme="minorHAnsi" w:hAnsiTheme="minorHAnsi" w:cstheme="minorHAnsi"/>
                <w:noProof/>
                <w:webHidden/>
                <w:sz w:val="19"/>
                <w:szCs w:val="19"/>
              </w:rPr>
              <w:t>4</w:t>
            </w:r>
            <w:r w:rsidR="004449F4">
              <w:rPr>
                <w:rFonts w:asciiTheme="minorHAnsi" w:hAnsiTheme="minorHAnsi" w:cstheme="minorHAnsi"/>
                <w:noProof/>
                <w:webHidden/>
                <w:sz w:val="19"/>
                <w:szCs w:val="19"/>
              </w:rPr>
              <w:fldChar w:fldCharType="end"/>
            </w:r>
          </w:hyperlink>
        </w:p>
        <w:p w:rsidR="00973AA9" w:rsidRDefault="0002522C">
          <w:pPr>
            <w:pStyle w:val="TOC1"/>
            <w:tabs>
              <w:tab w:val="right" w:leader="dot" w:pos="10439"/>
            </w:tabs>
            <w:rPr>
              <w:rFonts w:asciiTheme="minorHAnsi" w:hAnsiTheme="minorHAnsi" w:cstheme="minorHAnsi"/>
              <w:noProof/>
              <w:sz w:val="19"/>
              <w:szCs w:val="19"/>
            </w:rPr>
          </w:pPr>
          <w:hyperlink w:anchor="_Toc53399459" w:history="1">
            <w:r w:rsidR="004449F4">
              <w:rPr>
                <w:rStyle w:val="Hyperlink"/>
                <w:rFonts w:asciiTheme="minorHAnsi" w:hAnsiTheme="minorHAnsi" w:cstheme="minorHAnsi"/>
                <w:noProof/>
                <w:sz w:val="19"/>
                <w:szCs w:val="19"/>
              </w:rPr>
              <w:t>2. Appeals against the centre’s decision not to support a clerical re-check, a review of marking, a review of moderation or an appeal</w:t>
            </w:r>
            <w:r w:rsidR="004449F4">
              <w:rPr>
                <w:rFonts w:asciiTheme="minorHAnsi" w:hAnsiTheme="minorHAnsi" w:cstheme="minorHAnsi"/>
                <w:noProof/>
                <w:webHidden/>
                <w:sz w:val="19"/>
                <w:szCs w:val="19"/>
              </w:rPr>
              <w:tab/>
            </w:r>
            <w:r w:rsidR="004449F4">
              <w:rPr>
                <w:rFonts w:asciiTheme="minorHAnsi" w:hAnsiTheme="minorHAnsi" w:cstheme="minorHAnsi"/>
                <w:noProof/>
                <w:webHidden/>
                <w:sz w:val="19"/>
                <w:szCs w:val="19"/>
              </w:rPr>
              <w:fldChar w:fldCharType="begin"/>
            </w:r>
            <w:r w:rsidR="004449F4">
              <w:rPr>
                <w:rFonts w:asciiTheme="minorHAnsi" w:hAnsiTheme="minorHAnsi" w:cstheme="minorHAnsi"/>
                <w:noProof/>
                <w:webHidden/>
                <w:sz w:val="19"/>
                <w:szCs w:val="19"/>
              </w:rPr>
              <w:instrText xml:space="preserve"> PAGEREF _Toc53399459 \h </w:instrText>
            </w:r>
            <w:r w:rsidR="004449F4">
              <w:rPr>
                <w:rFonts w:asciiTheme="minorHAnsi" w:hAnsiTheme="minorHAnsi" w:cstheme="minorHAnsi"/>
                <w:noProof/>
                <w:webHidden/>
                <w:sz w:val="19"/>
                <w:szCs w:val="19"/>
              </w:rPr>
            </w:r>
            <w:r w:rsidR="004449F4">
              <w:rPr>
                <w:rFonts w:asciiTheme="minorHAnsi" w:hAnsiTheme="minorHAnsi" w:cstheme="minorHAnsi"/>
                <w:noProof/>
                <w:webHidden/>
                <w:sz w:val="19"/>
                <w:szCs w:val="19"/>
              </w:rPr>
              <w:fldChar w:fldCharType="separate"/>
            </w:r>
            <w:r w:rsidR="004449F4">
              <w:rPr>
                <w:rFonts w:asciiTheme="minorHAnsi" w:hAnsiTheme="minorHAnsi" w:cstheme="minorHAnsi"/>
                <w:noProof/>
                <w:webHidden/>
                <w:sz w:val="19"/>
                <w:szCs w:val="19"/>
              </w:rPr>
              <w:t>5</w:t>
            </w:r>
            <w:r w:rsidR="004449F4">
              <w:rPr>
                <w:rFonts w:asciiTheme="minorHAnsi" w:hAnsiTheme="minorHAnsi" w:cstheme="minorHAnsi"/>
                <w:noProof/>
                <w:webHidden/>
                <w:sz w:val="19"/>
                <w:szCs w:val="19"/>
              </w:rPr>
              <w:fldChar w:fldCharType="end"/>
            </w:r>
          </w:hyperlink>
        </w:p>
        <w:p w:rsidR="00973AA9" w:rsidRDefault="004449F4">
          <w:pPr>
            <w:spacing w:line="276" w:lineRule="auto"/>
          </w:pPr>
          <w:r>
            <w:rPr>
              <w:rFonts w:asciiTheme="minorHAnsi" w:hAnsiTheme="minorHAnsi" w:cstheme="minorHAnsi"/>
              <w:sz w:val="19"/>
              <w:szCs w:val="19"/>
            </w:rPr>
            <w:fldChar w:fldCharType="end"/>
          </w:r>
        </w:p>
      </w:sdtContent>
    </w:sdt>
    <w:p w:rsidR="00973AA9" w:rsidRDefault="004449F4">
      <w:pPr>
        <w:spacing w:after="200" w:line="276" w:lineRule="auto"/>
        <w:rPr>
          <w:rFonts w:eastAsia="Times New Roman" w:cs="Times New Roman"/>
          <w:b/>
          <w:color w:val="003399"/>
          <w:sz w:val="24"/>
          <w:szCs w:val="28"/>
        </w:rPr>
      </w:pPr>
      <w:r>
        <w:br w:type="page"/>
      </w:r>
    </w:p>
    <w:p w:rsidR="00973AA9" w:rsidRDefault="004449F4">
      <w:pPr>
        <w:pStyle w:val="Headinglevel1"/>
        <w:rPr>
          <w:rFonts w:asciiTheme="minorHAnsi" w:hAnsiTheme="minorHAnsi" w:cstheme="minorHAnsi"/>
          <w:i/>
          <w:color w:val="1F497D" w:themeColor="text2"/>
          <w:sz w:val="23"/>
          <w:szCs w:val="23"/>
        </w:rPr>
      </w:pPr>
      <w:bookmarkStart w:id="2" w:name="_Toc53399458"/>
      <w:r>
        <w:rPr>
          <w:rFonts w:asciiTheme="minorHAnsi" w:hAnsiTheme="minorHAnsi" w:cstheme="minorHAnsi"/>
          <w:color w:val="1F497D" w:themeColor="text2"/>
          <w:sz w:val="23"/>
          <w:szCs w:val="23"/>
        </w:rPr>
        <w:lastRenderedPageBreak/>
        <w:t>Appeals against internal assessment decisions (centre assessed marks)</w:t>
      </w:r>
      <w:bookmarkEnd w:id="2"/>
    </w:p>
    <w:p w:rsidR="004449F4" w:rsidRDefault="004449F4" w:rsidP="004449F4">
      <w:pPr>
        <w:ind w:right="300"/>
        <w:rPr>
          <w:rFonts w:asciiTheme="minorHAnsi" w:hAnsiTheme="minorHAnsi" w:cstheme="minorHAnsi"/>
          <w:color w:val="000000"/>
          <w:sz w:val="19"/>
          <w:szCs w:val="19"/>
        </w:rPr>
      </w:pPr>
      <w:r>
        <w:rPr>
          <w:rFonts w:asciiTheme="minorHAnsi" w:hAnsiTheme="minorHAnsi" w:cstheme="minorHAnsi"/>
          <w:color w:val="000000"/>
          <w:sz w:val="19"/>
          <w:szCs w:val="19"/>
        </w:rPr>
        <w:t xml:space="preserve">Certain qualifications contain components of non-examination assessment (or units of coursework) which are internally assessed (marked) by Dixons City Academy and </w:t>
      </w:r>
      <w:r>
        <w:rPr>
          <w:rFonts w:asciiTheme="minorHAnsi" w:hAnsiTheme="minorHAnsi" w:cstheme="minorHAnsi"/>
          <w:sz w:val="19"/>
          <w:szCs w:val="19"/>
        </w:rPr>
        <w:t xml:space="preserve">internally reviewed/standardised. </w:t>
      </w:r>
      <w:r>
        <w:rPr>
          <w:rFonts w:asciiTheme="minorHAnsi" w:hAnsiTheme="minorHAnsi" w:cstheme="minorHAnsi"/>
          <w:color w:val="000000"/>
          <w:sz w:val="19"/>
          <w:szCs w:val="19"/>
        </w:rPr>
        <w:t xml:space="preserve">The marks awarded (the internal assessment decisions) which contribute to the final grade of the qualification are then submitted by the deadline set by the awarding body for external moderation.     </w:t>
      </w:r>
    </w:p>
    <w:p w:rsidR="004449F4" w:rsidRDefault="004449F4" w:rsidP="004449F4">
      <w:pPr>
        <w:ind w:right="300"/>
        <w:rPr>
          <w:rFonts w:asciiTheme="minorHAnsi" w:hAnsiTheme="minorHAnsi" w:cstheme="minorHAnsi"/>
          <w:color w:val="000000"/>
          <w:sz w:val="19"/>
          <w:szCs w:val="19"/>
        </w:rPr>
      </w:pPr>
      <w:r w:rsidRPr="004449F4">
        <w:rPr>
          <w:rFonts w:asciiTheme="minorHAnsi" w:hAnsiTheme="minorHAnsi" w:cstheme="minorHAnsi"/>
          <w:color w:val="000000"/>
          <w:sz w:val="19"/>
          <w:szCs w:val="19"/>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rsidR="000F49E2" w:rsidRDefault="000F49E2" w:rsidP="004449F4">
      <w:pPr>
        <w:pStyle w:val="Headinglevel1"/>
        <w:rPr>
          <w:rFonts w:asciiTheme="minorHAnsi" w:hAnsiTheme="minorHAnsi" w:cstheme="minorHAnsi"/>
          <w:color w:val="1F497D" w:themeColor="text2"/>
          <w:sz w:val="23"/>
          <w:szCs w:val="23"/>
        </w:rPr>
      </w:pPr>
    </w:p>
    <w:p w:rsidR="004449F4" w:rsidRPr="004449F4" w:rsidRDefault="004449F4" w:rsidP="004449F4">
      <w:pPr>
        <w:pStyle w:val="Headinglevel1"/>
        <w:rPr>
          <w:rFonts w:asciiTheme="minorHAnsi" w:hAnsiTheme="minorHAnsi" w:cstheme="minorHAnsi"/>
          <w:color w:val="1F497D" w:themeColor="text2"/>
          <w:sz w:val="23"/>
          <w:szCs w:val="23"/>
        </w:rPr>
      </w:pPr>
      <w:r w:rsidRPr="004449F4">
        <w:rPr>
          <w:rFonts w:asciiTheme="minorHAnsi" w:hAnsiTheme="minorHAnsi" w:cstheme="minorHAnsi"/>
          <w:color w:val="1F497D" w:themeColor="text2"/>
          <w:sz w:val="23"/>
          <w:szCs w:val="23"/>
        </w:rPr>
        <w:t>Purpose of the procedure</w:t>
      </w:r>
    </w:p>
    <w:p w:rsidR="00EB14F5" w:rsidRPr="00EB14F5" w:rsidRDefault="00EB14F5" w:rsidP="00EB14F5">
      <w:p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The purpose of this procedure is to confirm the arrangements at Dixons City Academy for dealing with candidate appeals relating to internal assessment decisions.</w:t>
      </w:r>
    </w:p>
    <w:p w:rsidR="00EB14F5" w:rsidRPr="00EB14F5" w:rsidRDefault="00EB14F5" w:rsidP="00EB14F5">
      <w:p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This procedure ensures compliance with JCQ regulations which state that centres must:</w:t>
      </w:r>
    </w:p>
    <w:p w:rsidR="00EB14F5" w:rsidRPr="00EB14F5" w:rsidRDefault="007F0C70" w:rsidP="00EB14F5">
      <w:pPr>
        <w:pStyle w:val="ListParagraph"/>
        <w:numPr>
          <w:ilvl w:val="0"/>
          <w:numId w:val="2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H</w:t>
      </w:r>
      <w:r w:rsidR="00EB14F5" w:rsidRPr="00EB14F5">
        <w:rPr>
          <w:rFonts w:asciiTheme="minorHAnsi" w:hAnsiTheme="minorHAnsi" w:cstheme="minorHAnsi"/>
          <w:color w:val="000000"/>
          <w:sz w:val="19"/>
          <w:szCs w:val="19"/>
        </w:rPr>
        <w:t>ave in place and be available for inspection purposes, a written internal appeals procedure relating to internal assessment decisions and to ensure that details of this procedure are communicated, made widely available and accessible to all candidates</w:t>
      </w:r>
      <w:r>
        <w:rPr>
          <w:rFonts w:asciiTheme="minorHAnsi" w:hAnsiTheme="minorHAnsi" w:cstheme="minorHAnsi"/>
          <w:color w:val="000000"/>
          <w:sz w:val="19"/>
          <w:szCs w:val="19"/>
        </w:rPr>
        <w:t>.</w:t>
      </w:r>
    </w:p>
    <w:p w:rsidR="00EB14F5" w:rsidRDefault="007F0C70" w:rsidP="00EB14F5">
      <w:pPr>
        <w:pStyle w:val="ListParagraph"/>
        <w:numPr>
          <w:ilvl w:val="0"/>
          <w:numId w:val="2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B</w:t>
      </w:r>
      <w:r w:rsidR="00EB14F5" w:rsidRPr="00EB14F5">
        <w:rPr>
          <w:rFonts w:asciiTheme="minorHAnsi" w:hAnsiTheme="minorHAnsi" w:cstheme="minorHAnsi"/>
          <w:color w:val="000000"/>
          <w:sz w:val="19"/>
          <w:szCs w:val="19"/>
        </w:rPr>
        <w:t>efore submitting marks to the awarding body inform candidates of their centre assessed marks and allow a candidate to request a review of the centre’s marking</w:t>
      </w:r>
      <w:r>
        <w:rPr>
          <w:rFonts w:asciiTheme="minorHAnsi" w:hAnsiTheme="minorHAnsi" w:cstheme="minorHAnsi"/>
          <w:color w:val="000000"/>
          <w:sz w:val="19"/>
          <w:szCs w:val="19"/>
        </w:rPr>
        <w:t>.</w:t>
      </w:r>
    </w:p>
    <w:p w:rsidR="00EB14F5" w:rsidRDefault="00EB14F5" w:rsidP="00EB14F5">
      <w:pPr>
        <w:ind w:right="300"/>
        <w:rPr>
          <w:rFonts w:asciiTheme="minorHAnsi" w:hAnsiTheme="minorHAnsi" w:cstheme="minorHAnsi"/>
          <w:color w:val="000000"/>
          <w:sz w:val="19"/>
          <w:szCs w:val="19"/>
        </w:rPr>
      </w:pPr>
    </w:p>
    <w:p w:rsidR="00EB14F5" w:rsidRPr="00EB14F5" w:rsidRDefault="00EB14F5" w:rsidP="00EB14F5">
      <w:pPr>
        <w:pStyle w:val="Headinglevel1"/>
        <w:rPr>
          <w:rFonts w:asciiTheme="minorHAnsi" w:hAnsiTheme="minorHAnsi" w:cstheme="minorHAnsi"/>
          <w:color w:val="1F497D" w:themeColor="text2"/>
          <w:sz w:val="23"/>
          <w:szCs w:val="23"/>
        </w:rPr>
      </w:pPr>
      <w:r w:rsidRPr="00EB14F5">
        <w:rPr>
          <w:rFonts w:asciiTheme="minorHAnsi" w:hAnsiTheme="minorHAnsi" w:cstheme="minorHAnsi"/>
          <w:color w:val="1F497D" w:themeColor="text2"/>
          <w:sz w:val="23"/>
          <w:szCs w:val="23"/>
        </w:rPr>
        <w:t>Principles relating to centre assessed marks</w:t>
      </w:r>
    </w:p>
    <w:p w:rsidR="00EB14F5" w:rsidRPr="00EB14F5" w:rsidRDefault="007F0C70" w:rsidP="00EB14F5">
      <w:pPr>
        <w:ind w:right="300"/>
        <w:rPr>
          <w:rFonts w:asciiTheme="minorHAnsi" w:hAnsiTheme="minorHAnsi" w:cstheme="minorHAnsi"/>
          <w:color w:val="000000"/>
          <w:sz w:val="19"/>
          <w:szCs w:val="19"/>
        </w:rPr>
      </w:pPr>
      <w:r>
        <w:rPr>
          <w:rFonts w:asciiTheme="minorHAnsi" w:hAnsiTheme="minorHAnsi" w:cstheme="minorHAnsi"/>
          <w:color w:val="000000"/>
          <w:sz w:val="19"/>
          <w:szCs w:val="19"/>
        </w:rPr>
        <w:t>The Head of C</w:t>
      </w:r>
      <w:r w:rsidR="00EB14F5" w:rsidRPr="00EB14F5">
        <w:rPr>
          <w:rFonts w:asciiTheme="minorHAnsi" w:hAnsiTheme="minorHAnsi" w:cstheme="minorHAnsi"/>
          <w:color w:val="000000"/>
          <w:sz w:val="19"/>
          <w:szCs w:val="19"/>
        </w:rPr>
        <w:t>entre/senior leader(s) at Dixons City Academy will ensure that the following principles are in place in relation to marking the work of candidates:</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A commitment to ensuring that whenever teaching staff mark candidates’ work, that this is done fairly, consistently and in accordance with the awarding body’s specification and subject-specific associated documents</w:t>
      </w:r>
      <w:r w:rsidR="007F0C70">
        <w:rPr>
          <w:rFonts w:asciiTheme="minorHAnsi" w:hAnsiTheme="minorHAnsi" w:cstheme="minorHAnsi"/>
          <w:color w:val="000000"/>
          <w:sz w:val="19"/>
          <w:szCs w:val="19"/>
        </w:rPr>
        <w:t>.</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All centre staff follow a robust Non-examination Assessment Policy (for the management of non-examination assessments). This policy details all procedures relating to non-examination assessments for relevant qualifications delivered in the centre, including the marking and quality assurance/internal standardisation processes which relevant teach</w:t>
      </w:r>
      <w:r>
        <w:rPr>
          <w:rFonts w:asciiTheme="minorHAnsi" w:hAnsiTheme="minorHAnsi" w:cstheme="minorHAnsi"/>
          <w:color w:val="000000"/>
          <w:sz w:val="19"/>
          <w:szCs w:val="19"/>
        </w:rPr>
        <w:t>ing staff are required to follow</w:t>
      </w:r>
      <w:r w:rsidR="007F0C70">
        <w:rPr>
          <w:rFonts w:asciiTheme="minorHAnsi" w:hAnsiTheme="minorHAnsi" w:cstheme="minorHAnsi"/>
          <w:color w:val="000000"/>
          <w:sz w:val="19"/>
          <w:szCs w:val="19"/>
        </w:rPr>
        <w:t>.</w:t>
      </w:r>
    </w:p>
    <w:p w:rsidR="00EB14F5" w:rsidRDefault="00EB14F5" w:rsidP="0002522C">
      <w:pPr>
        <w:pStyle w:val="ListParagraph"/>
        <w:numPr>
          <w:ilvl w:val="0"/>
          <w:numId w:val="27"/>
        </w:numPr>
        <w:ind w:right="300"/>
        <w:rPr>
          <w:rFonts w:asciiTheme="minorHAnsi" w:hAnsiTheme="minorHAnsi" w:cstheme="minorHAnsi"/>
          <w:color w:val="000000"/>
          <w:sz w:val="19"/>
          <w:szCs w:val="19"/>
        </w:rPr>
      </w:pPr>
      <w:r w:rsidRPr="0002522C">
        <w:rPr>
          <w:rFonts w:asciiTheme="minorHAnsi" w:hAnsiTheme="minorHAnsi" w:cstheme="minorHAnsi"/>
          <w:color w:val="000000"/>
          <w:sz w:val="19"/>
          <w:szCs w:val="19"/>
        </w:rPr>
        <w:t>Candidates’ work will be marked by staff who have appropriate knowledge, understanding and skill, and who have been trained in this activity</w:t>
      </w:r>
      <w:r w:rsidR="007F0C70" w:rsidRPr="0002522C">
        <w:rPr>
          <w:rFonts w:asciiTheme="minorHAnsi" w:hAnsiTheme="minorHAnsi" w:cstheme="minorHAnsi"/>
          <w:color w:val="000000"/>
          <w:sz w:val="19"/>
          <w:szCs w:val="19"/>
        </w:rPr>
        <w:t>.</w:t>
      </w:r>
    </w:p>
    <w:p w:rsidR="00EB14F5" w:rsidRPr="0002522C" w:rsidRDefault="00EB14F5" w:rsidP="00EB14F5">
      <w:pPr>
        <w:pStyle w:val="ListParagraph"/>
        <w:numPr>
          <w:ilvl w:val="0"/>
          <w:numId w:val="27"/>
        </w:numPr>
        <w:ind w:right="300"/>
        <w:rPr>
          <w:rFonts w:asciiTheme="minorHAnsi" w:hAnsiTheme="minorHAnsi" w:cstheme="minorHAnsi"/>
          <w:color w:val="000000"/>
          <w:sz w:val="19"/>
          <w:szCs w:val="19"/>
        </w:rPr>
      </w:pPr>
      <w:bookmarkStart w:id="3" w:name="_GoBack"/>
      <w:bookmarkEnd w:id="3"/>
      <w:r w:rsidRPr="0002522C">
        <w:rPr>
          <w:rFonts w:asciiTheme="minorHAnsi" w:hAnsiTheme="minorHAnsi" w:cstheme="minorHAnsi"/>
          <w:color w:val="000000"/>
          <w:sz w:val="19"/>
          <w:szCs w:val="19"/>
        </w:rPr>
        <w:t>A commitment to ensuring that work produced by candidates is authenticated in line with the requirements of the awarding body.  Where more than one subject teacher/tutor is involved in marking candidates’ work, internal moderation and standardisation will ensure consistency of marking</w:t>
      </w:r>
      <w:r w:rsidR="007F0C70" w:rsidRPr="0002522C">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On being informed of their centre assessed mark(s), if candidates believes that the above procedures were not followed in relation to the marking of their work, or that the assessor has not properly applied the marking standards to their marking, then they may make use of the internal appeals procedure below to consider whether to request a review of the centre’s marking</w:t>
      </w:r>
      <w:r w:rsidR="007F0C70">
        <w:rPr>
          <w:rFonts w:asciiTheme="minorHAnsi" w:hAnsiTheme="minorHAnsi" w:cstheme="minorHAnsi"/>
          <w:color w:val="000000"/>
          <w:sz w:val="19"/>
          <w:szCs w:val="19"/>
        </w:rPr>
        <w:t>.</w:t>
      </w:r>
    </w:p>
    <w:p w:rsidR="00EB14F5" w:rsidRPr="00EB14F5" w:rsidRDefault="00EB14F5" w:rsidP="00EB14F5">
      <w:pPr>
        <w:pStyle w:val="Headinglevel1"/>
        <w:rPr>
          <w:rFonts w:asciiTheme="minorHAnsi" w:hAnsiTheme="minorHAnsi" w:cstheme="minorHAnsi"/>
          <w:color w:val="1F497D" w:themeColor="text2"/>
          <w:sz w:val="23"/>
          <w:szCs w:val="23"/>
        </w:rPr>
      </w:pPr>
    </w:p>
    <w:p w:rsidR="00EB14F5" w:rsidRDefault="00EB14F5" w:rsidP="00EB14F5">
      <w:pPr>
        <w:pStyle w:val="Headinglevel1"/>
        <w:rPr>
          <w:rFonts w:asciiTheme="minorHAnsi" w:hAnsiTheme="minorHAnsi" w:cstheme="minorHAnsi"/>
          <w:color w:val="1F497D" w:themeColor="text2"/>
          <w:sz w:val="23"/>
          <w:szCs w:val="23"/>
        </w:rPr>
      </w:pPr>
      <w:r w:rsidRPr="00EB14F5">
        <w:rPr>
          <w:rFonts w:asciiTheme="minorHAnsi" w:hAnsiTheme="minorHAnsi" w:cstheme="minorHAnsi"/>
          <w:color w:val="1F497D" w:themeColor="text2"/>
          <w:sz w:val="23"/>
          <w:szCs w:val="23"/>
        </w:rPr>
        <w:t>Procedure for appealing internal assessment decisions (centre assessed marks)</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The head of centre/senior leader(s) at Dixons City Academy will:</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Ensure that candidates are informed of their centre assessed marks so that they may request a review of the centre’s marking before marks are submitted to the awarding body</w:t>
      </w:r>
      <w:r w:rsidR="007F0C70">
        <w:rPr>
          <w:rFonts w:asciiTheme="minorHAnsi" w:hAnsiTheme="minorHAnsi" w:cstheme="minorHAnsi"/>
          <w:color w:val="000000"/>
          <w:sz w:val="19"/>
          <w:szCs w:val="19"/>
        </w:rPr>
        <w:t>.</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Inform candidates that they will need to explain on what grounds they wish to request a review of an internally assessed mark as a review will only focus on the quality of their work in meeting the published assessment criteria</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Inform candidates that they may request copies of materials (generally as a minimum, a copy of the marked assessment material (work) and the mark scheme or assessment criteria plus additional materials which may vary from subject to subject) to assist them in considering whether to request a review of the centre’s marking of the assessment</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Having received a request for copies of materials, promptly make them available to the candidate (for some marked assessment materials, such as art work and recordings, inform the candidate that the originals will be shared under supervised conditions) within the period of time as specified</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Provide candidates with sufficient time in order to allow them to review copies of materials and reach a decision, informing candidates that if their decision is to request a review they will need to explain what they believe the issue to be</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lastRenderedPageBreak/>
        <w:t>Provide a clear deadline for candidates to submit a request for a review of the centre’s marking and confirm understanding that requests must be made in writing and will not be acc</w:t>
      </w:r>
      <w:r w:rsidR="00FD432A">
        <w:rPr>
          <w:rFonts w:asciiTheme="minorHAnsi" w:hAnsiTheme="minorHAnsi" w:cstheme="minorHAnsi"/>
          <w:color w:val="000000"/>
          <w:sz w:val="19"/>
          <w:szCs w:val="19"/>
        </w:rPr>
        <w:t>epted after this deadline (see d</w:t>
      </w:r>
      <w:r w:rsidRPr="00EB14F5">
        <w:rPr>
          <w:rFonts w:asciiTheme="minorHAnsi" w:hAnsiTheme="minorHAnsi" w:cstheme="minorHAnsi"/>
          <w:color w:val="000000"/>
          <w:sz w:val="19"/>
          <w:szCs w:val="19"/>
        </w:rPr>
        <w:t>eadlines below)</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Allow sufficient time for the review to be carried out, to make any necessary changes to marks and to inform the candidate of the outcome, all before the awarding body’s deadline fo</w:t>
      </w:r>
      <w:r w:rsidR="00FD432A">
        <w:rPr>
          <w:rFonts w:asciiTheme="minorHAnsi" w:hAnsiTheme="minorHAnsi" w:cstheme="minorHAnsi"/>
          <w:color w:val="000000"/>
          <w:sz w:val="19"/>
          <w:szCs w:val="19"/>
        </w:rPr>
        <w:t>r the submission of marks (see d</w:t>
      </w:r>
      <w:r w:rsidRPr="00EB14F5">
        <w:rPr>
          <w:rFonts w:asciiTheme="minorHAnsi" w:hAnsiTheme="minorHAnsi" w:cstheme="minorHAnsi"/>
          <w:color w:val="000000"/>
          <w:sz w:val="19"/>
          <w:szCs w:val="19"/>
        </w:rPr>
        <w:t>eadlines below)</w:t>
      </w:r>
      <w:r w:rsidR="007F0C70">
        <w:rPr>
          <w:rFonts w:asciiTheme="minorHAnsi" w:hAnsiTheme="minorHAnsi" w:cstheme="minorHAnsi"/>
          <w:color w:val="000000"/>
          <w:sz w:val="19"/>
          <w:szCs w:val="19"/>
        </w:rPr>
        <w:t>.</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Ensure that the review of marking is conducted by an assessor who has appropriate competence, has had no previous involvement in the assessment of that candidate for the component in question and has no personal interest in the outcome of the review</w:t>
      </w:r>
      <w:r w:rsidR="007F0C70">
        <w:rPr>
          <w:rFonts w:asciiTheme="minorHAnsi" w:hAnsiTheme="minorHAnsi" w:cstheme="minorHAnsi"/>
          <w:color w:val="000000"/>
          <w:sz w:val="19"/>
          <w:szCs w:val="19"/>
        </w:rPr>
        <w:t>.</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Instruct the reviewer to ensure that the candidate’s mark is consistent with the standard set by the centre</w:t>
      </w:r>
      <w:r w:rsidR="004013D9">
        <w:rPr>
          <w:rFonts w:asciiTheme="minorHAnsi" w:hAnsiTheme="minorHAnsi" w:cstheme="minorHAnsi"/>
          <w:color w:val="000000"/>
          <w:sz w:val="19"/>
          <w:szCs w:val="19"/>
        </w:rPr>
        <w:t>.</w:t>
      </w:r>
    </w:p>
    <w:p w:rsidR="00EB14F5" w:rsidRPr="004013D9" w:rsidRDefault="00EB14F5" w:rsidP="004013D9">
      <w:pPr>
        <w:pStyle w:val="ListParagraph"/>
        <w:numPr>
          <w:ilvl w:val="0"/>
          <w:numId w:val="27"/>
        </w:numPr>
        <w:ind w:right="300"/>
        <w:rPr>
          <w:rFonts w:asciiTheme="minorHAnsi" w:hAnsiTheme="minorHAnsi" w:cstheme="minorHAnsi"/>
          <w:color w:val="000000"/>
          <w:sz w:val="19"/>
          <w:szCs w:val="19"/>
        </w:rPr>
      </w:pPr>
      <w:r w:rsidRPr="004013D9">
        <w:rPr>
          <w:rFonts w:asciiTheme="minorHAnsi" w:hAnsiTheme="minorHAnsi" w:cstheme="minorHAnsi"/>
          <w:color w:val="000000"/>
          <w:sz w:val="19"/>
          <w:szCs w:val="19"/>
        </w:rPr>
        <w:t>Inform the candidate in writing of the outcome of the review of the centre’s marking</w:t>
      </w:r>
      <w:r w:rsidR="007F0C70" w:rsidRPr="004013D9">
        <w:rPr>
          <w:rFonts w:asciiTheme="minorHAnsi" w:hAnsiTheme="minorHAnsi" w:cstheme="minorHAnsi"/>
          <w:color w:val="000000"/>
          <w:sz w:val="19"/>
          <w:szCs w:val="19"/>
        </w:rPr>
        <w:t>.</w:t>
      </w:r>
    </w:p>
    <w:p w:rsid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Ensure the outcome of the review of the centre’s marking is made known to the head of centre who will have the final decision if there is any disagreement on the mark to be submitted to the awarding body</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Ensure a written record of the review is kept and made available to the awarding body upon request Ensure the awarding body is informed if the centre does not accept the outcome of a review</w:t>
      </w:r>
    </w:p>
    <w:p w:rsidR="00EB14F5" w:rsidRPr="00EB14F5" w:rsidRDefault="00EB14F5" w:rsidP="00EB14F5">
      <w:pPr>
        <w:pStyle w:val="ListParagraph"/>
        <w:ind w:right="300"/>
        <w:rPr>
          <w:rFonts w:asciiTheme="minorHAnsi" w:hAnsiTheme="minorHAnsi" w:cstheme="minorHAnsi"/>
          <w:color w:val="000000"/>
          <w:sz w:val="19"/>
          <w:szCs w:val="19"/>
        </w:rPr>
      </w:pPr>
    </w:p>
    <w:p w:rsidR="00EB14F5" w:rsidRPr="00EB14F5" w:rsidRDefault="00EB14F5" w:rsidP="00EB14F5">
      <w:pPr>
        <w:pStyle w:val="Headinglevel1"/>
        <w:rPr>
          <w:rFonts w:asciiTheme="minorHAnsi" w:hAnsiTheme="minorHAnsi" w:cstheme="minorHAnsi"/>
          <w:color w:val="1F497D" w:themeColor="text2"/>
          <w:sz w:val="23"/>
          <w:szCs w:val="23"/>
        </w:rPr>
      </w:pPr>
      <w:r w:rsidRPr="00EB14F5">
        <w:rPr>
          <w:rFonts w:asciiTheme="minorHAnsi" w:hAnsiTheme="minorHAnsi" w:cstheme="minorHAnsi"/>
          <w:color w:val="1F497D" w:themeColor="text2"/>
          <w:sz w:val="23"/>
          <w:szCs w:val="23"/>
        </w:rPr>
        <w:t>Deadlines and timescales</w:t>
      </w:r>
    </w:p>
    <w:p w:rsidR="00EB14F5" w:rsidRDefault="00EB14F5" w:rsidP="00EB14F5">
      <w:pPr>
        <w:pStyle w:val="ListParagraph"/>
        <w:numPr>
          <w:ilvl w:val="0"/>
          <w:numId w:val="28"/>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 xml:space="preserve">Upon request, copies of materials will be made available to the candidate within </w:t>
      </w:r>
      <w:r w:rsidR="007F0C70">
        <w:rPr>
          <w:rFonts w:asciiTheme="minorHAnsi" w:hAnsiTheme="minorHAnsi" w:cstheme="minorHAnsi"/>
          <w:color w:val="000000"/>
          <w:sz w:val="19"/>
          <w:szCs w:val="19"/>
        </w:rPr>
        <w:t>14 calendar days.</w:t>
      </w:r>
    </w:p>
    <w:p w:rsidR="00EB14F5" w:rsidRPr="00EB14F5" w:rsidRDefault="00EB14F5" w:rsidP="00EB14F5">
      <w:pPr>
        <w:pStyle w:val="ListParagraph"/>
        <w:numPr>
          <w:ilvl w:val="0"/>
          <w:numId w:val="28"/>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 xml:space="preserve">The deadline to request a review of marking must be made within </w:t>
      </w:r>
      <w:r>
        <w:rPr>
          <w:rFonts w:asciiTheme="minorHAnsi" w:hAnsiTheme="minorHAnsi" w:cstheme="minorHAnsi"/>
          <w:color w:val="000000"/>
          <w:sz w:val="19"/>
          <w:szCs w:val="19"/>
        </w:rPr>
        <w:t>14 calendar days</w:t>
      </w:r>
      <w:r w:rsidRPr="00EB14F5">
        <w:rPr>
          <w:rFonts w:asciiTheme="minorHAnsi" w:hAnsiTheme="minorHAnsi" w:cstheme="minorHAnsi"/>
          <w:color w:val="000000"/>
          <w:sz w:val="19"/>
          <w:szCs w:val="19"/>
        </w:rPr>
        <w:t xml:space="preserve"> of the candidate receiving copies of the requested materials</w:t>
      </w:r>
      <w:r w:rsidR="007F0C70">
        <w:rPr>
          <w:rFonts w:asciiTheme="minorHAnsi" w:hAnsiTheme="minorHAnsi" w:cstheme="minorHAnsi"/>
          <w:color w:val="000000"/>
          <w:sz w:val="19"/>
          <w:szCs w:val="19"/>
        </w:rPr>
        <w:t>.</w:t>
      </w:r>
    </w:p>
    <w:p w:rsidR="00EB14F5" w:rsidRPr="00EB14F5" w:rsidRDefault="00EB14F5" w:rsidP="00EB14F5">
      <w:pPr>
        <w:pStyle w:val="ListParagraph"/>
        <w:numPr>
          <w:ilvl w:val="0"/>
          <w:numId w:val="27"/>
        </w:numPr>
        <w:ind w:right="300"/>
        <w:rPr>
          <w:rFonts w:asciiTheme="minorHAnsi" w:hAnsiTheme="minorHAnsi" w:cstheme="minorHAnsi"/>
          <w:color w:val="000000"/>
          <w:sz w:val="19"/>
          <w:szCs w:val="19"/>
        </w:rPr>
      </w:pPr>
      <w:r w:rsidRPr="00EB14F5">
        <w:rPr>
          <w:rFonts w:asciiTheme="minorHAnsi" w:hAnsiTheme="minorHAnsi" w:cstheme="minorHAnsi"/>
          <w:color w:val="000000"/>
          <w:sz w:val="19"/>
          <w:szCs w:val="19"/>
        </w:rPr>
        <w:t xml:space="preserve">The process for completing the review, making any changes to marks, and informing the candidate of the outcome will be completed within </w:t>
      </w:r>
      <w:r>
        <w:rPr>
          <w:rFonts w:asciiTheme="minorHAnsi" w:hAnsiTheme="minorHAnsi" w:cstheme="minorHAnsi"/>
          <w:color w:val="000000"/>
          <w:sz w:val="19"/>
          <w:szCs w:val="19"/>
        </w:rPr>
        <w:t>14 calendar days</w:t>
      </w:r>
      <w:r w:rsidRPr="00EB14F5">
        <w:rPr>
          <w:rFonts w:asciiTheme="minorHAnsi" w:hAnsiTheme="minorHAnsi" w:cstheme="minorHAnsi"/>
          <w:color w:val="000000"/>
          <w:sz w:val="19"/>
          <w:szCs w:val="19"/>
        </w:rPr>
        <w:t>, all before the awarding body's deadline for the submission of mark</w:t>
      </w:r>
      <w:r w:rsidR="007F0C70">
        <w:rPr>
          <w:rFonts w:asciiTheme="minorHAnsi" w:hAnsiTheme="minorHAnsi" w:cstheme="minorHAnsi"/>
          <w:color w:val="000000"/>
          <w:sz w:val="19"/>
          <w:szCs w:val="19"/>
        </w:rPr>
        <w:t>.</w:t>
      </w:r>
    </w:p>
    <w:p w:rsidR="00EB14F5" w:rsidRDefault="00EB14F5" w:rsidP="00EB14F5">
      <w:pPr>
        <w:pStyle w:val="ListParagraph"/>
        <w:ind w:right="300"/>
        <w:rPr>
          <w:rFonts w:asciiTheme="minorHAnsi" w:hAnsiTheme="minorHAnsi" w:cstheme="minorHAnsi"/>
          <w:sz w:val="19"/>
          <w:szCs w:val="19"/>
        </w:rPr>
      </w:pPr>
    </w:p>
    <w:p w:rsidR="00350991" w:rsidRPr="00350991" w:rsidRDefault="00350991" w:rsidP="00350991">
      <w:p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Following the issue of results, awarding bodies make post-results services available (see below for details of how these are managed at Dixons City</w:t>
      </w:r>
      <w:r>
        <w:rPr>
          <w:rFonts w:asciiTheme="minorHAnsi" w:hAnsiTheme="minorHAnsi" w:cstheme="minorHAnsi"/>
          <w:color w:val="000000"/>
          <w:sz w:val="19"/>
          <w:szCs w:val="19"/>
        </w:rPr>
        <w:t xml:space="preserve"> </w:t>
      </w:r>
      <w:r w:rsidRPr="00350991">
        <w:rPr>
          <w:rFonts w:asciiTheme="minorHAnsi" w:hAnsiTheme="minorHAnsi" w:cstheme="minorHAnsi"/>
          <w:color w:val="000000"/>
          <w:sz w:val="19"/>
          <w:szCs w:val="19"/>
        </w:rPr>
        <w:t>Academy)</w:t>
      </w:r>
    </w:p>
    <w:p w:rsidR="00350991" w:rsidRPr="00350991" w:rsidRDefault="00350991" w:rsidP="00350991">
      <w:p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If teaching staff at Dixons City Academy or a candidate (or his/her parent/carer) have a concern that a result may not be accurate, post-results services may be considered.</w:t>
      </w:r>
    </w:p>
    <w:p w:rsidR="00350991" w:rsidRPr="00350991" w:rsidRDefault="00350991" w:rsidP="00350991">
      <w:p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The JCQ post-results services currently available are detailed below.</w:t>
      </w:r>
    </w:p>
    <w:p w:rsidR="00350991" w:rsidRPr="00350991" w:rsidRDefault="00350991" w:rsidP="00350991">
      <w:pPr>
        <w:pStyle w:val="Headinglevel1"/>
        <w:rPr>
          <w:rFonts w:asciiTheme="minorHAnsi" w:hAnsiTheme="minorHAnsi" w:cstheme="minorHAnsi"/>
          <w:color w:val="1F497D" w:themeColor="text2"/>
          <w:sz w:val="23"/>
          <w:szCs w:val="23"/>
        </w:rPr>
      </w:pPr>
      <w:r w:rsidRPr="00350991">
        <w:rPr>
          <w:rFonts w:asciiTheme="minorHAnsi" w:hAnsiTheme="minorHAnsi" w:cstheme="minorHAnsi"/>
          <w:color w:val="1F497D" w:themeColor="text2"/>
          <w:sz w:val="23"/>
          <w:szCs w:val="23"/>
        </w:rPr>
        <w:t>Reviews of Results (RoRs):</w:t>
      </w:r>
    </w:p>
    <w:p w:rsidR="00350991" w:rsidRDefault="00350991" w:rsidP="00350991">
      <w:pPr>
        <w:pStyle w:val="ListParagraph"/>
        <w:numPr>
          <w:ilvl w:val="0"/>
          <w:numId w:val="27"/>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Service 1 (Clerical re-check) - This is the only service that can be requested for objective tests (multiple choice tests)</w:t>
      </w:r>
      <w:r w:rsidR="007F0C70">
        <w:rPr>
          <w:rFonts w:asciiTheme="minorHAnsi" w:hAnsiTheme="minorHAnsi" w:cstheme="minorHAnsi"/>
          <w:color w:val="000000"/>
          <w:sz w:val="19"/>
          <w:szCs w:val="19"/>
        </w:rPr>
        <w:t>.</w:t>
      </w:r>
    </w:p>
    <w:p w:rsidR="00350991" w:rsidRDefault="00350991" w:rsidP="00350991">
      <w:pPr>
        <w:pStyle w:val="ListParagraph"/>
        <w:numPr>
          <w:ilvl w:val="0"/>
          <w:numId w:val="27"/>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Service 2 (Review of marking)</w:t>
      </w:r>
      <w:r w:rsidR="007F0C70">
        <w:rPr>
          <w:rFonts w:asciiTheme="minorHAnsi" w:hAnsiTheme="minorHAnsi" w:cstheme="minorHAnsi"/>
          <w:color w:val="000000"/>
          <w:sz w:val="19"/>
          <w:szCs w:val="19"/>
        </w:rPr>
        <w:t>.</w:t>
      </w:r>
    </w:p>
    <w:p w:rsidR="00350991" w:rsidRDefault="00350991" w:rsidP="00350991">
      <w:pPr>
        <w:pStyle w:val="ListParagraph"/>
        <w:numPr>
          <w:ilvl w:val="0"/>
          <w:numId w:val="27"/>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Priority Service 2 (Review of marking) - This service is only available for externally assessed components of GCE A-level specifications (an individual awarding body may also offer this priority service for other qualifications)</w:t>
      </w:r>
      <w:r w:rsidR="007F0C70">
        <w:rPr>
          <w:rFonts w:asciiTheme="minorHAnsi" w:hAnsiTheme="minorHAnsi" w:cstheme="minorHAnsi"/>
          <w:color w:val="000000"/>
          <w:sz w:val="19"/>
          <w:szCs w:val="19"/>
        </w:rPr>
        <w:t>.</w:t>
      </w:r>
    </w:p>
    <w:p w:rsidR="00350991" w:rsidRDefault="00350991" w:rsidP="00350991">
      <w:pPr>
        <w:pStyle w:val="ListParagraph"/>
        <w:numPr>
          <w:ilvl w:val="0"/>
          <w:numId w:val="27"/>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Service 3 (Review of moderation) - This service is not available to an individual candidate</w:t>
      </w:r>
      <w:r w:rsidR="007F0C70">
        <w:rPr>
          <w:rFonts w:asciiTheme="minorHAnsi" w:hAnsiTheme="minorHAnsi" w:cstheme="minorHAnsi"/>
          <w:color w:val="000000"/>
          <w:sz w:val="19"/>
          <w:szCs w:val="19"/>
        </w:rPr>
        <w:t>.</w:t>
      </w:r>
    </w:p>
    <w:p w:rsidR="00350991" w:rsidRPr="00350991" w:rsidRDefault="00350991" w:rsidP="00350991">
      <w:pPr>
        <w:pStyle w:val="Headinglevel1"/>
        <w:rPr>
          <w:rFonts w:asciiTheme="minorHAnsi" w:hAnsiTheme="minorHAnsi" w:cstheme="minorHAnsi"/>
          <w:color w:val="1F497D" w:themeColor="text2"/>
          <w:sz w:val="23"/>
          <w:szCs w:val="23"/>
        </w:rPr>
      </w:pPr>
      <w:r w:rsidRPr="00350991">
        <w:rPr>
          <w:rFonts w:asciiTheme="minorHAnsi" w:hAnsiTheme="minorHAnsi" w:cstheme="minorHAnsi"/>
          <w:color w:val="1F497D" w:themeColor="text2"/>
          <w:sz w:val="23"/>
          <w:szCs w:val="23"/>
        </w:rPr>
        <w:t>Access to Scripts (ATS):</w:t>
      </w:r>
    </w:p>
    <w:p w:rsid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Copies of scripts to support reviews of marking</w:t>
      </w:r>
      <w:r w:rsidR="007F0C70">
        <w:rPr>
          <w:rFonts w:asciiTheme="minorHAnsi" w:hAnsiTheme="minorHAnsi" w:cstheme="minorHAnsi"/>
          <w:color w:val="000000"/>
          <w:sz w:val="19"/>
          <w:szCs w:val="19"/>
        </w:rPr>
        <w:t>.</w:t>
      </w:r>
    </w:p>
    <w:p w:rsid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Copies of scripts to support teaching and learning</w:t>
      </w:r>
      <w:r w:rsidR="007F0C70">
        <w:rPr>
          <w:rFonts w:asciiTheme="minorHAnsi" w:hAnsiTheme="minorHAnsi" w:cstheme="minorHAnsi"/>
          <w:color w:val="000000"/>
          <w:sz w:val="19"/>
          <w:szCs w:val="19"/>
        </w:rPr>
        <w:t>.</w:t>
      </w:r>
    </w:p>
    <w:p w:rsidR="00350991" w:rsidRPr="00350991" w:rsidRDefault="00350991" w:rsidP="00917CF0">
      <w:pPr>
        <w:spacing w:after="290"/>
        <w:rPr>
          <w:rFonts w:asciiTheme="minorHAnsi" w:hAnsiTheme="minorHAnsi" w:cstheme="minorHAnsi"/>
          <w:b/>
          <w:bCs/>
          <w:color w:val="1F497D" w:themeColor="text2"/>
          <w:sz w:val="23"/>
          <w:szCs w:val="23"/>
        </w:rPr>
      </w:pPr>
      <w:r w:rsidRPr="00350991">
        <w:rPr>
          <w:rFonts w:asciiTheme="minorHAnsi" w:hAnsiTheme="minorHAnsi" w:cstheme="minorHAnsi"/>
          <w:b/>
          <w:bCs/>
          <w:color w:val="1F497D" w:themeColor="text2"/>
          <w:sz w:val="23"/>
          <w:szCs w:val="23"/>
        </w:rPr>
        <w:t>Post-results services</w:t>
      </w:r>
    </w:p>
    <w:p w:rsidR="00917CF0" w:rsidRDefault="00917CF0" w:rsidP="00917CF0">
      <w:pPr>
        <w:ind w:right="300"/>
        <w:rPr>
          <w:rFonts w:asciiTheme="minorHAnsi" w:hAnsiTheme="minorHAnsi" w:cstheme="minorHAnsi"/>
          <w:color w:val="000000"/>
          <w:sz w:val="19"/>
          <w:szCs w:val="19"/>
        </w:rPr>
      </w:pPr>
      <w:r>
        <w:rPr>
          <w:rFonts w:asciiTheme="minorHAnsi" w:hAnsiTheme="minorHAnsi" w:cstheme="minorHAnsi"/>
          <w:color w:val="000000"/>
          <w:sz w:val="19"/>
          <w:szCs w:val="19"/>
        </w:rPr>
        <w:t>At Dixons City Academy:</w:t>
      </w:r>
    </w:p>
    <w:p w:rsidR="00350991" w:rsidRPr="00917CF0" w:rsidRDefault="00350991" w:rsidP="00917CF0">
      <w:pPr>
        <w:pStyle w:val="ListParagraph"/>
        <w:numPr>
          <w:ilvl w:val="0"/>
          <w:numId w:val="31"/>
        </w:num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Candidates are made aware of the arrangements for post-results services prior to the issue of results</w:t>
      </w:r>
    </w:p>
    <w:p w:rsidR="00350991" w:rsidRPr="00917CF0" w:rsidRDefault="00350991" w:rsidP="00917CF0">
      <w:pPr>
        <w:pStyle w:val="ListParagraph"/>
        <w:numPr>
          <w:ilvl w:val="0"/>
          <w:numId w:val="31"/>
        </w:num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Candidates are also informed of the periods during which senior members of centre staff will be available/accessible immediately after the publication of results so that results may be discussed, and decisions made on the submission of reviews of marking</w:t>
      </w:r>
    </w:p>
    <w:p w:rsidR="00917CF0" w:rsidRPr="00350991" w:rsidRDefault="00917CF0" w:rsidP="00917CF0">
      <w:pPr>
        <w:pStyle w:val="ListParagraph"/>
        <w:ind w:right="300"/>
        <w:rPr>
          <w:rFonts w:asciiTheme="minorHAnsi" w:hAnsiTheme="minorHAnsi" w:cstheme="minorHAnsi"/>
          <w:color w:val="000000"/>
          <w:sz w:val="19"/>
          <w:szCs w:val="19"/>
        </w:rPr>
      </w:pPr>
    </w:p>
    <w:p w:rsidR="002F5E11" w:rsidRDefault="00350991" w:rsidP="002F5E11">
      <w:p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 xml:space="preserve">Full details of the post-results services, internal deadline(s) for requesting a service and the fees charged (where applicable) are provided by </w:t>
      </w:r>
      <w:r w:rsidR="002F5E11">
        <w:rPr>
          <w:rFonts w:asciiTheme="minorHAnsi" w:hAnsiTheme="minorHAnsi" w:cstheme="minorHAnsi"/>
          <w:color w:val="000000"/>
          <w:sz w:val="19"/>
          <w:szCs w:val="19"/>
        </w:rPr>
        <w:t>the exams officer.</w:t>
      </w:r>
    </w:p>
    <w:p w:rsidR="002F5E11" w:rsidRDefault="002F5E11" w:rsidP="002F5E11">
      <w:pPr>
        <w:ind w:right="300"/>
        <w:rPr>
          <w:rFonts w:asciiTheme="minorHAnsi" w:hAnsiTheme="minorHAnsi" w:cstheme="minorHAnsi"/>
          <w:color w:val="000000"/>
          <w:sz w:val="19"/>
          <w:szCs w:val="19"/>
        </w:rPr>
      </w:pPr>
    </w:p>
    <w:p w:rsidR="00350991" w:rsidRPr="00917CF0" w:rsidRDefault="00350991" w:rsidP="002F5E11">
      <w:pPr>
        <w:ind w:right="300"/>
        <w:rPr>
          <w:rFonts w:asciiTheme="minorHAnsi" w:hAnsiTheme="minorHAnsi" w:cstheme="minorHAnsi"/>
          <w:b/>
          <w:bCs/>
          <w:color w:val="1F497D" w:themeColor="text2"/>
          <w:sz w:val="23"/>
          <w:szCs w:val="23"/>
        </w:rPr>
      </w:pPr>
      <w:r w:rsidRPr="00917CF0">
        <w:rPr>
          <w:rFonts w:asciiTheme="minorHAnsi" w:hAnsiTheme="minorHAnsi" w:cstheme="minorHAnsi"/>
          <w:b/>
          <w:bCs/>
          <w:color w:val="1F497D" w:themeColor="text2"/>
          <w:sz w:val="23"/>
          <w:szCs w:val="23"/>
        </w:rPr>
        <w:t>Centre actions in response to a concern about a result</w:t>
      </w:r>
    </w:p>
    <w:p w:rsidR="00350991" w:rsidRPr="00917CF0" w:rsidRDefault="00350991" w:rsidP="00917CF0">
      <w:p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Where a concern is expressed that a particular result may not be accurate, Dixons City Academy will:</w:t>
      </w:r>
    </w:p>
    <w:p w:rsidR="00350991" w:rsidRPr="00917CF0" w:rsidRDefault="00350991" w:rsidP="00917CF0">
      <w:pPr>
        <w:pStyle w:val="ListParagraph"/>
        <w:numPr>
          <w:ilvl w:val="0"/>
          <w:numId w:val="29"/>
        </w:num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Look at the marks awarded for each component part of the qualification alongside any mark schemes, relevant result reports, grade boundary information etc., when made available by the awarding body, to determine if the concern may be justified</w:t>
      </w:r>
      <w:r w:rsidR="003D114F">
        <w:rPr>
          <w:rFonts w:asciiTheme="minorHAnsi" w:hAnsiTheme="minorHAnsi" w:cstheme="minorHAnsi"/>
          <w:color w:val="000000"/>
          <w:sz w:val="19"/>
          <w:szCs w:val="19"/>
        </w:rPr>
        <w:t>.</w:t>
      </w:r>
    </w:p>
    <w:p w:rsidR="00350991" w:rsidRPr="00917CF0" w:rsidRDefault="00350991" w:rsidP="00917CF0">
      <w:p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 xml:space="preserve">For </w:t>
      </w:r>
      <w:r w:rsidRPr="00917CF0">
        <w:rPr>
          <w:rFonts w:asciiTheme="minorHAnsi" w:hAnsiTheme="minorHAnsi" w:cstheme="minorHAnsi"/>
          <w:b/>
          <w:color w:val="000000"/>
          <w:sz w:val="19"/>
          <w:szCs w:val="19"/>
        </w:rPr>
        <w:t>written</w:t>
      </w:r>
      <w:r w:rsidRPr="00917CF0">
        <w:rPr>
          <w:rFonts w:asciiTheme="minorHAnsi" w:hAnsiTheme="minorHAnsi" w:cstheme="minorHAnsi"/>
          <w:color w:val="000000"/>
          <w:sz w:val="19"/>
          <w:szCs w:val="19"/>
        </w:rPr>
        <w:t xml:space="preserve"> components that contributed to the final grade, Dixons City Academy will:</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Where a place a university or college is at risk, consider supporting a request for a Priority Service 2 review of marking</w:t>
      </w:r>
    </w:p>
    <w:p w:rsidR="00917CF0" w:rsidRDefault="00917CF0" w:rsidP="00917CF0">
      <w:pPr>
        <w:ind w:left="360" w:right="300"/>
        <w:rPr>
          <w:rFonts w:asciiTheme="minorHAnsi" w:hAnsiTheme="minorHAnsi" w:cstheme="minorHAnsi"/>
          <w:color w:val="000000"/>
          <w:sz w:val="19"/>
          <w:szCs w:val="19"/>
        </w:rPr>
      </w:pPr>
    </w:p>
    <w:p w:rsidR="00350991" w:rsidRPr="00917CF0" w:rsidRDefault="00350991" w:rsidP="00917CF0">
      <w:p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lastRenderedPageBreak/>
        <w:t>In all other instances:</w:t>
      </w:r>
    </w:p>
    <w:p w:rsidR="00350991" w:rsidRPr="00917CF0" w:rsidRDefault="00350991" w:rsidP="00917CF0">
      <w:pPr>
        <w:ind w:right="300"/>
        <w:rPr>
          <w:rFonts w:asciiTheme="minorHAnsi" w:hAnsiTheme="minorHAnsi" w:cstheme="minorHAnsi"/>
          <w:color w:val="000000"/>
          <w:sz w:val="19"/>
          <w:szCs w:val="19"/>
        </w:rPr>
      </w:pPr>
      <w:r w:rsidRPr="00917CF0">
        <w:rPr>
          <w:rFonts w:asciiTheme="minorHAnsi" w:hAnsiTheme="minorHAnsi" w:cstheme="minorHAnsi"/>
          <w:color w:val="000000"/>
          <w:sz w:val="19"/>
          <w:szCs w:val="19"/>
        </w:rPr>
        <w:t>Consider accessing the script by:</w:t>
      </w:r>
    </w:p>
    <w:p w:rsidR="00350991" w:rsidRDefault="00687ED9" w:rsidP="00350991">
      <w:pPr>
        <w:pStyle w:val="ListParagraph"/>
        <w:numPr>
          <w:ilvl w:val="0"/>
          <w:numId w:val="29"/>
        </w:numPr>
        <w:ind w:right="300"/>
        <w:rPr>
          <w:rFonts w:asciiTheme="minorHAnsi" w:hAnsiTheme="minorHAnsi" w:cstheme="minorHAnsi"/>
          <w:color w:val="000000"/>
          <w:sz w:val="19"/>
          <w:szCs w:val="19"/>
        </w:rPr>
      </w:pPr>
      <w:r>
        <w:rPr>
          <w:rFonts w:asciiTheme="minorHAnsi" w:hAnsiTheme="minorHAnsi" w:cstheme="minorHAnsi"/>
          <w:color w:val="000000"/>
          <w:sz w:val="19"/>
          <w:szCs w:val="19"/>
        </w:rPr>
        <w:t>(W</w:t>
      </w:r>
      <w:r w:rsidR="00350991" w:rsidRPr="00350991">
        <w:rPr>
          <w:rFonts w:asciiTheme="minorHAnsi" w:hAnsiTheme="minorHAnsi" w:cstheme="minorHAnsi"/>
          <w:color w:val="000000"/>
          <w:sz w:val="19"/>
          <w:szCs w:val="19"/>
        </w:rPr>
        <w:t>here the service is made available by the awarding body) requesting a priority copy of the candidate’s script to support a review of marking by the awarding body deadline OR</w:t>
      </w:r>
    </w:p>
    <w:p w:rsid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w:t>
      </w:r>
      <w:r w:rsidR="00687ED9" w:rsidRPr="00350991">
        <w:rPr>
          <w:rFonts w:asciiTheme="minorHAnsi" w:hAnsiTheme="minorHAnsi" w:cstheme="minorHAnsi"/>
          <w:color w:val="000000"/>
          <w:sz w:val="19"/>
          <w:szCs w:val="19"/>
        </w:rPr>
        <w:t>Where</w:t>
      </w:r>
      <w:r w:rsidRPr="00350991">
        <w:rPr>
          <w:rFonts w:asciiTheme="minorHAnsi" w:hAnsiTheme="minorHAnsi" w:cstheme="minorHAnsi"/>
          <w:color w:val="000000"/>
          <w:sz w:val="19"/>
          <w:szCs w:val="19"/>
        </w:rPr>
        <w:t xml:space="preserve"> the option is made available by the awarding body) viewing the candidate’s marked script online to consider if requesting a review of marking is appropriate</w:t>
      </w:r>
      <w:r w:rsidR="00687ED9">
        <w:rPr>
          <w:rFonts w:asciiTheme="minorHAnsi" w:hAnsiTheme="minorHAnsi" w:cstheme="minorHAnsi"/>
          <w:color w:val="000000"/>
          <w:sz w:val="19"/>
          <w:szCs w:val="19"/>
        </w:rPr>
        <w:t>.</w:t>
      </w:r>
    </w:p>
    <w:p w:rsidR="00BD3FC2" w:rsidRPr="00BD3FC2" w:rsidRDefault="00BD3FC2" w:rsidP="00BD3FC2">
      <w:pPr>
        <w:pStyle w:val="ListParagraph"/>
        <w:numPr>
          <w:ilvl w:val="0"/>
          <w:numId w:val="29"/>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C</w:t>
      </w:r>
      <w:r w:rsidR="00350991" w:rsidRPr="00BD3FC2">
        <w:rPr>
          <w:rFonts w:asciiTheme="minorHAnsi" w:hAnsiTheme="minorHAnsi" w:cstheme="minorHAnsi"/>
          <w:color w:val="000000"/>
          <w:sz w:val="19"/>
          <w:szCs w:val="19"/>
        </w:rPr>
        <w:t>ollect written consent/permission from th</w:t>
      </w:r>
      <w:r w:rsidRPr="00BD3FC2">
        <w:rPr>
          <w:rFonts w:asciiTheme="minorHAnsi" w:hAnsiTheme="minorHAnsi" w:cstheme="minorHAnsi"/>
          <w:color w:val="000000"/>
          <w:sz w:val="19"/>
          <w:szCs w:val="19"/>
        </w:rPr>
        <w:t>e candidate to access the script</w:t>
      </w:r>
      <w:r w:rsidR="00687ED9">
        <w:rPr>
          <w:rFonts w:asciiTheme="minorHAnsi" w:hAnsiTheme="minorHAnsi" w:cstheme="minorHAnsi"/>
          <w:color w:val="000000"/>
          <w:sz w:val="19"/>
          <w:szCs w:val="19"/>
        </w:rPr>
        <w:t>.</w:t>
      </w:r>
    </w:p>
    <w:p w:rsidR="00350991" w:rsidRPr="00BD3FC2" w:rsidRDefault="00350991" w:rsidP="00BD3FC2">
      <w:pPr>
        <w:pStyle w:val="ListParagraph"/>
        <w:numPr>
          <w:ilvl w:val="0"/>
          <w:numId w:val="29"/>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On access to the script, consider if it is felt that the agreed mark scheme has been applied correctly in the original marking and if the centre considers there are any errors in the marking</w:t>
      </w:r>
      <w:r w:rsidR="00687ED9">
        <w:rPr>
          <w:rFonts w:asciiTheme="minorHAnsi" w:hAnsiTheme="minorHAnsi" w:cstheme="minorHAnsi"/>
          <w:color w:val="000000"/>
          <w:sz w:val="19"/>
          <w:szCs w:val="19"/>
        </w:rPr>
        <w:t>.</w:t>
      </w:r>
    </w:p>
    <w:p w:rsidR="00350991" w:rsidRPr="00BD3FC2" w:rsidRDefault="00350991" w:rsidP="00BD3FC2">
      <w:pPr>
        <w:pStyle w:val="ListParagraph"/>
        <w:numPr>
          <w:ilvl w:val="0"/>
          <w:numId w:val="29"/>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Support a request for the appropriate Review of Results service (clerical re-check or review of marking) if any error is identified</w:t>
      </w:r>
      <w:r w:rsidR="00687ED9">
        <w:rPr>
          <w:rFonts w:asciiTheme="minorHAnsi" w:hAnsiTheme="minorHAnsi" w:cstheme="minorHAnsi"/>
          <w:color w:val="000000"/>
          <w:sz w:val="19"/>
          <w:szCs w:val="19"/>
        </w:rPr>
        <w:t>.</w:t>
      </w:r>
    </w:p>
    <w:p w:rsidR="00350991" w:rsidRPr="00350991" w:rsidRDefault="00350991" w:rsidP="00BD3FC2">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Collect written consent from the candidate to request the Review of Results service before the request is submitted</w:t>
      </w:r>
      <w:r w:rsidR="00687ED9">
        <w:rPr>
          <w:rFonts w:asciiTheme="minorHAnsi" w:hAnsiTheme="minorHAnsi" w:cstheme="minorHAnsi"/>
          <w:color w:val="000000"/>
          <w:sz w:val="19"/>
          <w:szCs w:val="19"/>
        </w:rPr>
        <w:t>.</w:t>
      </w:r>
    </w:p>
    <w:p w:rsidR="00350991" w:rsidRPr="00BD3FC2" w:rsidRDefault="00350991" w:rsidP="00BD3FC2">
      <w:pPr>
        <w:pStyle w:val="ListParagraph"/>
        <w:numPr>
          <w:ilvl w:val="0"/>
          <w:numId w:val="29"/>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Where relevant, advise an affected candidate to inform any third party (such as a university or college) that a review of marking has been submitted to an awarding body</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 xml:space="preserve">For </w:t>
      </w:r>
      <w:r w:rsidRPr="00BD3FC2">
        <w:rPr>
          <w:rFonts w:asciiTheme="minorHAnsi" w:hAnsiTheme="minorHAnsi" w:cstheme="minorHAnsi"/>
          <w:b/>
          <w:color w:val="000000"/>
          <w:sz w:val="19"/>
          <w:szCs w:val="19"/>
        </w:rPr>
        <w:t xml:space="preserve">moderated </w:t>
      </w:r>
      <w:r w:rsidRPr="00BD3FC2">
        <w:rPr>
          <w:rFonts w:asciiTheme="minorHAnsi" w:hAnsiTheme="minorHAnsi" w:cstheme="minorHAnsi"/>
          <w:color w:val="000000"/>
          <w:sz w:val="19"/>
          <w:szCs w:val="19"/>
        </w:rPr>
        <w:t>components that contributed to the final grade Dixons City Academy will:</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Confirm that a review of moderation cannot be undertaken on the work of an individual candidate or the work of candidates not in the original sample submitted for moderation</w:t>
      </w:r>
      <w:r w:rsidR="00687ED9">
        <w:rPr>
          <w:rFonts w:asciiTheme="minorHAnsi" w:hAnsiTheme="minorHAnsi" w:cstheme="minorHAnsi"/>
          <w:color w:val="000000"/>
          <w:sz w:val="19"/>
          <w:szCs w:val="19"/>
        </w:rPr>
        <w:t>.</w:t>
      </w:r>
    </w:p>
    <w:p w:rsidR="00350991" w:rsidRPr="00BD3FC2" w:rsidRDefault="00350991" w:rsidP="00BD3FC2">
      <w:pPr>
        <w:pStyle w:val="ListParagraph"/>
        <w:numPr>
          <w:ilvl w:val="0"/>
          <w:numId w:val="29"/>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Consult the moderator’s report/feedback to identify any issues raised</w:t>
      </w:r>
      <w:r w:rsidR="00687ED9">
        <w:rPr>
          <w:rFonts w:asciiTheme="minorHAnsi" w:hAnsiTheme="minorHAnsi" w:cstheme="minorHAnsi"/>
          <w:color w:val="000000"/>
          <w:sz w:val="19"/>
          <w:szCs w:val="19"/>
        </w:rPr>
        <w:t>.</w:t>
      </w:r>
    </w:p>
    <w:p w:rsidR="00350991" w:rsidRPr="00350991" w:rsidRDefault="00350991" w:rsidP="00BD3FC2">
      <w:pPr>
        <w:pStyle w:val="ListParagraph"/>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Determine if the centre’s internally assessed marks have been accepted without change by the awarding body – if this is the case, a Review o</w:t>
      </w:r>
      <w:r w:rsidR="00FD432A">
        <w:rPr>
          <w:rFonts w:asciiTheme="minorHAnsi" w:hAnsiTheme="minorHAnsi" w:cstheme="minorHAnsi"/>
          <w:color w:val="000000"/>
          <w:sz w:val="19"/>
          <w:szCs w:val="19"/>
        </w:rPr>
        <w:t>f Results service 3 (Review of M</w:t>
      </w:r>
      <w:r w:rsidRPr="00350991">
        <w:rPr>
          <w:rFonts w:asciiTheme="minorHAnsi" w:hAnsiTheme="minorHAnsi" w:cstheme="minorHAnsi"/>
          <w:color w:val="000000"/>
          <w:sz w:val="19"/>
          <w:szCs w:val="19"/>
        </w:rPr>
        <w:t>oderation) will not be available</w:t>
      </w:r>
      <w:r w:rsidR="00687ED9">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Determine if there are any grounds to submit a request for a review of moderation for all candidates in the original sample</w:t>
      </w:r>
      <w:r w:rsidR="00687ED9">
        <w:rPr>
          <w:rFonts w:asciiTheme="minorHAnsi" w:hAnsiTheme="minorHAnsi" w:cstheme="minorHAnsi"/>
          <w:color w:val="000000"/>
          <w:sz w:val="19"/>
          <w:szCs w:val="19"/>
        </w:rPr>
        <w:t>.</w:t>
      </w:r>
    </w:p>
    <w:p w:rsidR="00350991" w:rsidRPr="00BD3FC2" w:rsidRDefault="00350991" w:rsidP="00BD3FC2">
      <w:pPr>
        <w:ind w:left="360" w:right="300"/>
        <w:rPr>
          <w:rFonts w:asciiTheme="minorHAnsi" w:hAnsiTheme="minorHAnsi" w:cstheme="minorHAnsi"/>
          <w:color w:val="000000"/>
          <w:sz w:val="19"/>
          <w:szCs w:val="19"/>
        </w:rPr>
      </w:pPr>
    </w:p>
    <w:p w:rsidR="00350991" w:rsidRPr="00BD3FC2" w:rsidRDefault="00350991" w:rsidP="00BD3FC2">
      <w:pPr>
        <w:spacing w:after="290"/>
        <w:rPr>
          <w:rFonts w:asciiTheme="minorHAnsi" w:hAnsiTheme="minorHAnsi" w:cstheme="minorHAnsi"/>
          <w:b/>
          <w:bCs/>
          <w:color w:val="1F497D" w:themeColor="text2"/>
          <w:sz w:val="23"/>
          <w:szCs w:val="23"/>
        </w:rPr>
      </w:pPr>
      <w:r w:rsidRPr="00BD3FC2">
        <w:rPr>
          <w:rFonts w:asciiTheme="minorHAnsi" w:hAnsiTheme="minorHAnsi" w:cstheme="minorHAnsi"/>
          <w:b/>
          <w:bCs/>
          <w:color w:val="1F497D" w:themeColor="text2"/>
          <w:sz w:val="23"/>
          <w:szCs w:val="23"/>
        </w:rPr>
        <w:t>Candidate consent</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Dixons City Academy will:</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Acquire written candidate consent (accepting informed consent via candidate email) in all cases before a request for a Review of Results service 1 or 2 (including priority service 2) is submitted to the awarding body</w:t>
      </w:r>
      <w:r w:rsidR="003D114F">
        <w:rPr>
          <w:rFonts w:asciiTheme="minorHAnsi" w:hAnsiTheme="minorHAnsi" w:cstheme="minorHAnsi"/>
          <w:color w:val="000000"/>
          <w:sz w:val="19"/>
          <w:szCs w:val="19"/>
        </w:rPr>
        <w:t>.</w:t>
      </w:r>
    </w:p>
    <w:p w:rsidR="00BD3FC2"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Acquire informed candidate consent to confirm the candidate understands that the final subject grade and/or mark awarded following a clerical recheck or a review of marking, and any subsequent appeal, may be lower than, higher than, or the same as the resu</w:t>
      </w:r>
      <w:r w:rsidR="003D114F">
        <w:rPr>
          <w:rFonts w:asciiTheme="minorHAnsi" w:hAnsiTheme="minorHAnsi" w:cstheme="minorHAnsi"/>
          <w:color w:val="000000"/>
          <w:sz w:val="19"/>
          <w:szCs w:val="19"/>
        </w:rPr>
        <w:t>lt which was originally awarded.</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Only collect candidate consent after the publication of results</w:t>
      </w:r>
      <w:r w:rsidR="003D114F">
        <w:rPr>
          <w:rFonts w:asciiTheme="minorHAnsi" w:hAnsiTheme="minorHAnsi" w:cstheme="minorHAnsi"/>
          <w:color w:val="000000"/>
          <w:sz w:val="19"/>
          <w:szCs w:val="19"/>
        </w:rPr>
        <w:t>.</w:t>
      </w:r>
    </w:p>
    <w:p w:rsidR="00350991" w:rsidRPr="00BD3FC2" w:rsidRDefault="00350991" w:rsidP="00BD3FC2">
      <w:pPr>
        <w:spacing w:after="290"/>
        <w:rPr>
          <w:rFonts w:asciiTheme="minorHAnsi" w:hAnsiTheme="minorHAnsi" w:cstheme="minorHAnsi"/>
          <w:b/>
          <w:bCs/>
          <w:color w:val="1F497D" w:themeColor="text2"/>
          <w:sz w:val="23"/>
          <w:szCs w:val="23"/>
        </w:rPr>
      </w:pPr>
    </w:p>
    <w:p w:rsidR="00350991" w:rsidRPr="00BD3FC2" w:rsidRDefault="00350991" w:rsidP="00BD3FC2">
      <w:pPr>
        <w:spacing w:after="290"/>
        <w:rPr>
          <w:rFonts w:asciiTheme="minorHAnsi" w:hAnsiTheme="minorHAnsi" w:cstheme="minorHAnsi"/>
          <w:b/>
          <w:bCs/>
          <w:color w:val="1F497D" w:themeColor="text2"/>
          <w:sz w:val="23"/>
          <w:szCs w:val="23"/>
        </w:rPr>
      </w:pPr>
      <w:r w:rsidRPr="00BD3FC2">
        <w:rPr>
          <w:rFonts w:asciiTheme="minorHAnsi" w:hAnsiTheme="minorHAnsi" w:cstheme="minorHAnsi"/>
          <w:b/>
          <w:bCs/>
          <w:color w:val="1F497D" w:themeColor="text2"/>
          <w:sz w:val="23"/>
          <w:szCs w:val="23"/>
        </w:rPr>
        <w:t>Centre actions in the event of a disagreement (dispute)</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Where a candidate disagrees with a centre decision not to support a clerical re-check, a review of marking or a review of moderation,</w:t>
      </w:r>
      <w:r w:rsidR="00BD3FC2">
        <w:rPr>
          <w:rFonts w:asciiTheme="minorHAnsi" w:hAnsiTheme="minorHAnsi" w:cstheme="minorHAnsi"/>
          <w:color w:val="000000"/>
          <w:sz w:val="19"/>
          <w:szCs w:val="19"/>
        </w:rPr>
        <w:t xml:space="preserve"> </w:t>
      </w:r>
      <w:r w:rsidRPr="00BD3FC2">
        <w:rPr>
          <w:rFonts w:asciiTheme="minorHAnsi" w:hAnsiTheme="minorHAnsi" w:cstheme="minorHAnsi"/>
          <w:color w:val="000000"/>
          <w:sz w:val="19"/>
          <w:szCs w:val="19"/>
        </w:rPr>
        <w:t>Dixons City Academy will:</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For a review of marking (Review of Results priority service 2), advise the candidate a review may be requested by providing informed written consent (and the required fee) for this service to the centre by the deadline set by the centre</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For a review of marking (Review of Results service 1 or 2), first advise the candidate to access a copy of their script to support a review of marking by providing written permission (and any required fee) for the centre to access the script from the awarding body</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After accessing the script to consider the marking, inform the candidate that if a request for a review of marking (Review of Results service 1 or 2) is required, this must be submitted by the deadline set by the centre by providing informed written consent (and the required fee) for the centre to request the service from the awarding body</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Inform the candidate that a review of moderation (Review of Results service 3) cannot be requested for the work of an individual candidate or the work of a candidate not in the original sample</w:t>
      </w:r>
      <w:r w:rsidR="003D114F">
        <w:rPr>
          <w:rFonts w:asciiTheme="minorHAnsi" w:hAnsiTheme="minorHAnsi" w:cstheme="minorHAnsi"/>
          <w:color w:val="000000"/>
          <w:sz w:val="19"/>
          <w:szCs w:val="19"/>
        </w:rPr>
        <w:t>.</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If the candidate (or his/her parent/carer) believes there are grounds to appeal against the centre’s decision not to support a review of results, an internal appeal ca</w:t>
      </w:r>
      <w:r w:rsidR="00D7081A">
        <w:rPr>
          <w:rFonts w:asciiTheme="minorHAnsi" w:hAnsiTheme="minorHAnsi" w:cstheme="minorHAnsi"/>
          <w:color w:val="000000"/>
          <w:sz w:val="19"/>
          <w:szCs w:val="19"/>
        </w:rPr>
        <w:t xml:space="preserve">n be submitted to the centre at least 14 calendar days </w:t>
      </w:r>
      <w:r w:rsidRPr="00BD3FC2">
        <w:rPr>
          <w:rFonts w:asciiTheme="minorHAnsi" w:hAnsiTheme="minorHAnsi" w:cstheme="minorHAnsi"/>
          <w:color w:val="000000"/>
          <w:sz w:val="19"/>
          <w:szCs w:val="19"/>
        </w:rPr>
        <w:t>prior to the internal deadline for submitting a request for a review of results.</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The appellant will be informed of the outcome of the appeal</w:t>
      </w:r>
      <w:r w:rsidR="00F765D6">
        <w:rPr>
          <w:rFonts w:asciiTheme="minorHAnsi" w:hAnsiTheme="minorHAnsi" w:cstheme="minorHAnsi"/>
          <w:color w:val="000000"/>
          <w:sz w:val="19"/>
          <w:szCs w:val="19"/>
        </w:rPr>
        <w:t>.</w:t>
      </w:r>
    </w:p>
    <w:p w:rsidR="003D114F" w:rsidRDefault="003D114F" w:rsidP="00BD3FC2">
      <w:pPr>
        <w:spacing w:after="290"/>
        <w:rPr>
          <w:rFonts w:asciiTheme="minorHAnsi" w:hAnsiTheme="minorHAnsi" w:cstheme="minorHAnsi"/>
          <w:b/>
          <w:bCs/>
          <w:color w:val="1F497D" w:themeColor="text2"/>
          <w:sz w:val="23"/>
          <w:szCs w:val="23"/>
        </w:rPr>
      </w:pPr>
    </w:p>
    <w:p w:rsidR="00350991" w:rsidRPr="00BD3FC2" w:rsidRDefault="00350991" w:rsidP="00BD3FC2">
      <w:pPr>
        <w:spacing w:after="290"/>
        <w:rPr>
          <w:rFonts w:asciiTheme="minorHAnsi" w:hAnsiTheme="minorHAnsi" w:cstheme="minorHAnsi"/>
          <w:b/>
          <w:bCs/>
          <w:color w:val="1F497D" w:themeColor="text2"/>
          <w:sz w:val="23"/>
          <w:szCs w:val="23"/>
        </w:rPr>
      </w:pPr>
      <w:r w:rsidRPr="00BD3FC2">
        <w:rPr>
          <w:rFonts w:asciiTheme="minorHAnsi" w:hAnsiTheme="minorHAnsi" w:cstheme="minorHAnsi"/>
          <w:b/>
          <w:bCs/>
          <w:color w:val="1F497D" w:themeColor="text2"/>
          <w:sz w:val="23"/>
          <w:szCs w:val="23"/>
        </w:rPr>
        <w:t>Appeals</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Following a Review of Results outcome, an external appeals process is available if the head of centre at Dixons City Academy remains dissatisfied with the outcome and believes there are grounds for appeal.</w:t>
      </w: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lastRenderedPageBreak/>
        <w:t>The JCQ publications Post-Results Services and JCQ Appeals Booklet (A guide to the awarding bodies’ appeals processes) will be consulted to determine the acceptable grounds for a preliminary appeal.</w:t>
      </w:r>
      <w:r w:rsidR="00BD3FC2">
        <w:rPr>
          <w:rFonts w:asciiTheme="minorHAnsi" w:hAnsiTheme="minorHAnsi" w:cstheme="minorHAnsi"/>
          <w:color w:val="000000"/>
          <w:sz w:val="19"/>
          <w:szCs w:val="19"/>
        </w:rPr>
        <w:t xml:space="preserve"> </w:t>
      </w:r>
      <w:r w:rsidRPr="00BD3FC2">
        <w:rPr>
          <w:rFonts w:asciiTheme="minorHAnsi" w:hAnsiTheme="minorHAnsi" w:cstheme="minorHAnsi"/>
          <w:color w:val="000000"/>
          <w:sz w:val="19"/>
          <w:szCs w:val="19"/>
        </w:rPr>
        <w:t xml:space="preserve">Where the head of centre is satisfied after receiving the Review of Results outcome, but the candidate (or parent/carer) believes there are grounds for a preliminary appeal to the awarding body, an internal appeal may be made directly to the centre. Candidates or parents/carers are not permitted to make direct representations to an awarding body. Following this, the head of centre’s decision as to whether to proceed with a preliminary appeal will be based upon the acceptable grounds as detailed in the JCQ Appeals Booklet. </w:t>
      </w:r>
    </w:p>
    <w:p w:rsidR="00BD3FC2" w:rsidRDefault="00BD3FC2" w:rsidP="00BD3FC2">
      <w:pPr>
        <w:ind w:right="300"/>
        <w:rPr>
          <w:rFonts w:asciiTheme="minorHAnsi" w:hAnsiTheme="minorHAnsi" w:cstheme="minorHAnsi"/>
          <w:color w:val="000000"/>
          <w:sz w:val="19"/>
          <w:szCs w:val="19"/>
        </w:rPr>
      </w:pPr>
    </w:p>
    <w:p w:rsidR="00350991" w:rsidRPr="00BD3FC2" w:rsidRDefault="00350991" w:rsidP="00BD3FC2">
      <w:p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To submit an internal appeal:</w:t>
      </w:r>
    </w:p>
    <w:p w:rsidR="00350991" w:rsidRPr="00BD3FC2" w:rsidRDefault="00350991" w:rsidP="00BD3FC2">
      <w:pPr>
        <w:pStyle w:val="ListParagraph"/>
        <w:numPr>
          <w:ilvl w:val="0"/>
          <w:numId w:val="32"/>
        </w:numPr>
        <w:ind w:right="300"/>
        <w:rPr>
          <w:rFonts w:asciiTheme="minorHAnsi" w:hAnsiTheme="minorHAnsi" w:cstheme="minorHAnsi"/>
          <w:color w:val="000000"/>
          <w:sz w:val="19"/>
          <w:szCs w:val="19"/>
        </w:rPr>
      </w:pPr>
      <w:r w:rsidRPr="00BD3FC2">
        <w:rPr>
          <w:rFonts w:asciiTheme="minorHAnsi" w:hAnsiTheme="minorHAnsi" w:cstheme="minorHAnsi"/>
          <w:color w:val="000000"/>
          <w:sz w:val="19"/>
          <w:szCs w:val="19"/>
        </w:rPr>
        <w:t>An internal appeals form should be completed and submitted to the centre within the time specified by the centre from the notification of the outcome of the review of the result</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Subject to the head of centre’s decision, the preliminary appeal will be processed and submitted to the awarding body within the required 30 calendar days of the awarding body issuing the outcome of the review of results process</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Awarding body fees which may be charged for the preliminary appeal must be paid to the centre by the appellant before the preliminary appeal is submitted to the awarding body (fees are available from the exams officer)</w:t>
      </w:r>
      <w:r w:rsidR="003D114F">
        <w:rPr>
          <w:rFonts w:asciiTheme="minorHAnsi" w:hAnsiTheme="minorHAnsi" w:cstheme="minorHAnsi"/>
          <w:color w:val="000000"/>
          <w:sz w:val="19"/>
          <w:szCs w:val="19"/>
        </w:rPr>
        <w:t>.</w:t>
      </w:r>
    </w:p>
    <w:p w:rsidR="00350991" w:rsidRPr="00350991" w:rsidRDefault="00350991" w:rsidP="00350991">
      <w:pPr>
        <w:pStyle w:val="ListParagraph"/>
        <w:numPr>
          <w:ilvl w:val="0"/>
          <w:numId w:val="29"/>
        </w:numPr>
        <w:ind w:right="300"/>
        <w:rPr>
          <w:rFonts w:asciiTheme="minorHAnsi" w:hAnsiTheme="minorHAnsi" w:cstheme="minorHAnsi"/>
          <w:color w:val="000000"/>
          <w:sz w:val="19"/>
          <w:szCs w:val="19"/>
        </w:rPr>
      </w:pPr>
      <w:r w:rsidRPr="00350991">
        <w:rPr>
          <w:rFonts w:asciiTheme="minorHAnsi" w:hAnsiTheme="minorHAnsi" w:cstheme="minorHAnsi"/>
          <w:color w:val="000000"/>
          <w:sz w:val="19"/>
          <w:szCs w:val="19"/>
        </w:rPr>
        <w:t>If the appeal is upheld by the awarding body, this fee will be refunded by the awarding body and repaid to the appellant by the centre</w:t>
      </w:r>
      <w:r w:rsidR="003D114F">
        <w:rPr>
          <w:rFonts w:asciiTheme="minorHAnsi" w:hAnsiTheme="minorHAnsi" w:cstheme="minorHAnsi"/>
          <w:color w:val="000000"/>
          <w:sz w:val="19"/>
          <w:szCs w:val="19"/>
        </w:rPr>
        <w:t>.</w:t>
      </w:r>
    </w:p>
    <w:p w:rsidR="00350991" w:rsidRPr="00350991" w:rsidRDefault="00350991" w:rsidP="00350991">
      <w:pPr>
        <w:spacing w:before="120" w:after="120" w:line="276" w:lineRule="auto"/>
        <w:jc w:val="both"/>
        <w:rPr>
          <w:rFonts w:asciiTheme="minorHAnsi" w:hAnsiTheme="minorHAnsi" w:cstheme="minorHAnsi"/>
          <w:sz w:val="19"/>
          <w:szCs w:val="19"/>
        </w:rPr>
      </w:pPr>
    </w:p>
    <w:p w:rsidR="00973AA9" w:rsidRDefault="00973AA9">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827E13" w:rsidRDefault="00827E13">
      <w:pPr>
        <w:spacing w:after="200" w:line="276" w:lineRule="auto"/>
        <w:rPr>
          <w:rFonts w:eastAsia="Times New Roman" w:cs="Arial"/>
          <w:b/>
          <w:color w:val="003399"/>
          <w:sz w:val="24"/>
          <w:szCs w:val="24"/>
        </w:rPr>
      </w:pPr>
    </w:p>
    <w:p w:rsidR="00917CF0" w:rsidRDefault="00917CF0">
      <w:pPr>
        <w:spacing w:after="200" w:line="276" w:lineRule="auto"/>
        <w:rPr>
          <w:rFonts w:eastAsia="Times New Roman" w:cs="Arial"/>
          <w:b/>
          <w:color w:val="003399"/>
          <w:sz w:val="24"/>
          <w:szCs w:val="24"/>
        </w:rPr>
      </w:pPr>
    </w:p>
    <w:tbl>
      <w:tblPr>
        <w:tblStyle w:val="TableGrid"/>
        <w:tblW w:w="0" w:type="auto"/>
        <w:tblLook w:val="04A0" w:firstRow="1" w:lastRow="0" w:firstColumn="1" w:lastColumn="0" w:noHBand="0" w:noVBand="1"/>
      </w:tblPr>
      <w:tblGrid>
        <w:gridCol w:w="7088"/>
        <w:gridCol w:w="1559"/>
        <w:gridCol w:w="1701"/>
      </w:tblGrid>
      <w:tr w:rsidR="00973AA9">
        <w:tc>
          <w:tcPr>
            <w:tcW w:w="7088" w:type="dxa"/>
            <w:vMerge w:val="restart"/>
            <w:tcBorders>
              <w:top w:val="nil"/>
              <w:left w:val="nil"/>
              <w:right w:val="single" w:sz="4" w:space="0" w:color="auto"/>
            </w:tcBorders>
            <w:vAlign w:val="center"/>
          </w:tcPr>
          <w:p w:rsidR="00973AA9" w:rsidRDefault="004449F4">
            <w:pPr>
              <w:spacing w:before="120" w:after="120" w:line="276" w:lineRule="auto"/>
              <w:rPr>
                <w:rFonts w:asciiTheme="minorHAnsi" w:eastAsia="Times New Roman" w:hAnsiTheme="minorHAnsi" w:cstheme="minorHAnsi"/>
                <w:b/>
                <w:color w:val="003399"/>
                <w:sz w:val="23"/>
                <w:szCs w:val="23"/>
              </w:rPr>
            </w:pPr>
            <w:bookmarkStart w:id="4" w:name="_Hlk496619748"/>
            <w:r>
              <w:rPr>
                <w:rFonts w:asciiTheme="minorHAnsi" w:eastAsia="Times New Roman" w:hAnsiTheme="minorHAnsi" w:cstheme="minorHAnsi"/>
                <w:b/>
                <w:color w:val="1F497D" w:themeColor="text2"/>
                <w:sz w:val="23"/>
                <w:szCs w:val="23"/>
              </w:rPr>
              <w:lastRenderedPageBreak/>
              <w:t xml:space="preserve">Internal appeals form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AA9" w:rsidRDefault="004449F4">
            <w:pPr>
              <w:spacing w:before="120" w:after="120"/>
              <w:jc w:val="center"/>
              <w:rPr>
                <w:rFonts w:asciiTheme="minorHAnsi" w:eastAsia="Times New Roman" w:hAnsiTheme="minorHAnsi" w:cstheme="minorHAnsi"/>
                <w:bCs/>
                <w:sz w:val="19"/>
                <w:szCs w:val="19"/>
              </w:rPr>
            </w:pPr>
            <w:r>
              <w:rPr>
                <w:rFonts w:asciiTheme="minorHAnsi" w:hAnsiTheme="minorHAnsi" w:cstheme="minorHAnsi"/>
                <w:bCs/>
                <w:sz w:val="19"/>
                <w:szCs w:val="19"/>
              </w:rPr>
              <w:t>FOR CENTRE USE ONLY</w:t>
            </w:r>
          </w:p>
        </w:tc>
      </w:tr>
      <w:tr w:rsidR="00973AA9">
        <w:trPr>
          <w:trHeight w:val="310"/>
        </w:trPr>
        <w:tc>
          <w:tcPr>
            <w:tcW w:w="7088" w:type="dxa"/>
            <w:vMerge/>
            <w:tcBorders>
              <w:left w:val="nil"/>
              <w:bottom w:val="nil"/>
              <w:right w:val="single" w:sz="4" w:space="0" w:color="auto"/>
            </w:tcBorders>
          </w:tcPr>
          <w:p w:rsidR="00973AA9" w:rsidRDefault="00973AA9">
            <w:pPr>
              <w:spacing w:before="120" w:after="120" w:line="276" w:lineRule="auto"/>
              <w:rPr>
                <w:rFonts w:eastAsia="Times New Roman"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AA9" w:rsidRDefault="004449F4">
            <w:pPr>
              <w:spacing w:before="120" w:after="120" w:line="276" w:lineRule="auto"/>
              <w:rPr>
                <w:rFonts w:asciiTheme="minorHAnsi" w:eastAsia="Times New Roman" w:hAnsiTheme="minorHAnsi" w:cstheme="minorHAnsi"/>
                <w:sz w:val="19"/>
                <w:szCs w:val="19"/>
              </w:rPr>
            </w:pPr>
            <w:r>
              <w:rPr>
                <w:rFonts w:asciiTheme="minorHAnsi" w:hAnsiTheme="minorHAnsi" w:cstheme="minorHAnsi"/>
                <w:sz w:val="19"/>
                <w:szCs w:val="19"/>
              </w:rPr>
              <w:t>Date received</w:t>
            </w:r>
          </w:p>
        </w:tc>
        <w:tc>
          <w:tcPr>
            <w:tcW w:w="1701" w:type="dxa"/>
            <w:tcBorders>
              <w:top w:val="single" w:sz="4" w:space="0" w:color="auto"/>
              <w:left w:val="single" w:sz="4" w:space="0" w:color="auto"/>
              <w:bottom w:val="single" w:sz="4" w:space="0" w:color="auto"/>
              <w:right w:val="single" w:sz="4" w:space="0" w:color="auto"/>
            </w:tcBorders>
          </w:tcPr>
          <w:p w:rsidR="00973AA9" w:rsidRDefault="00973AA9">
            <w:pPr>
              <w:spacing w:before="120" w:after="120" w:line="276" w:lineRule="auto"/>
              <w:rPr>
                <w:rFonts w:asciiTheme="minorHAnsi" w:eastAsia="Times New Roman" w:hAnsiTheme="minorHAnsi" w:cstheme="minorHAnsi"/>
                <w:b/>
                <w:sz w:val="19"/>
                <w:szCs w:val="19"/>
              </w:rPr>
            </w:pPr>
          </w:p>
        </w:tc>
      </w:tr>
      <w:tr w:rsidR="00973AA9">
        <w:trPr>
          <w:trHeight w:val="579"/>
        </w:trPr>
        <w:tc>
          <w:tcPr>
            <w:tcW w:w="7088" w:type="dxa"/>
            <w:tcBorders>
              <w:top w:val="nil"/>
              <w:left w:val="nil"/>
              <w:bottom w:val="nil"/>
              <w:right w:val="single" w:sz="4" w:space="0" w:color="auto"/>
            </w:tcBorders>
            <w:vAlign w:val="bottom"/>
          </w:tcPr>
          <w:p w:rsidR="00973AA9" w:rsidRDefault="004449F4">
            <w:pPr>
              <w:spacing w:before="120" w:after="0" w:line="276" w:lineRule="auto"/>
              <w:rPr>
                <w:rFonts w:asciiTheme="minorHAnsi" w:eastAsia="Times New Roman" w:hAnsiTheme="minorHAnsi" w:cstheme="minorHAnsi"/>
                <w:b/>
                <w:color w:val="003399"/>
                <w:sz w:val="19"/>
                <w:szCs w:val="19"/>
              </w:rPr>
            </w:pPr>
            <w:r>
              <w:rPr>
                <w:rFonts w:asciiTheme="minorHAnsi" w:eastAsia="Times New Roman" w:hAnsiTheme="minorHAnsi" w:cstheme="minorHAnsi"/>
                <w:sz w:val="19"/>
                <w:szCs w:val="19"/>
              </w:rPr>
              <w:t xml:space="preserve">Please tick box to indicate the nature of your appeal and complete all white boxes on the form below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AA9" w:rsidRDefault="004449F4">
            <w:pPr>
              <w:spacing w:before="120" w:after="120" w:line="276" w:lineRule="auto"/>
              <w:rPr>
                <w:rFonts w:asciiTheme="minorHAnsi" w:hAnsiTheme="minorHAnsi" w:cstheme="minorHAnsi"/>
                <w:sz w:val="19"/>
                <w:szCs w:val="19"/>
              </w:rPr>
            </w:pPr>
            <w:r>
              <w:rPr>
                <w:rFonts w:asciiTheme="minorHAnsi" w:hAnsiTheme="minorHAnsi" w:cstheme="minorHAnsi"/>
                <w:sz w:val="19"/>
                <w:szCs w:val="19"/>
              </w:rPr>
              <w:t xml:space="preserve">Reference No. </w:t>
            </w:r>
          </w:p>
        </w:tc>
        <w:tc>
          <w:tcPr>
            <w:tcW w:w="1701" w:type="dxa"/>
            <w:tcBorders>
              <w:top w:val="single" w:sz="4" w:space="0" w:color="auto"/>
              <w:left w:val="single" w:sz="4" w:space="0" w:color="auto"/>
              <w:bottom w:val="single" w:sz="4" w:space="0" w:color="auto"/>
              <w:right w:val="single" w:sz="4" w:space="0" w:color="auto"/>
            </w:tcBorders>
          </w:tcPr>
          <w:p w:rsidR="00973AA9" w:rsidRDefault="00973AA9">
            <w:pPr>
              <w:spacing w:before="120" w:after="120" w:line="276" w:lineRule="auto"/>
              <w:rPr>
                <w:rFonts w:asciiTheme="minorHAnsi" w:eastAsia="Times New Roman" w:hAnsiTheme="minorHAnsi" w:cstheme="minorHAnsi"/>
                <w:b/>
                <w:sz w:val="19"/>
                <w:szCs w:val="19"/>
              </w:rPr>
            </w:pPr>
          </w:p>
        </w:tc>
      </w:tr>
    </w:tbl>
    <w:p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hAnsiTheme="minorHAnsi" w:cstheme="minorHAnsi"/>
          <w:sz w:val="19"/>
          <w:szCs w:val="19"/>
        </w:rPr>
        <w:t>Appeal against an internal assessment decision and/or request for a review of marking</w:t>
      </w:r>
    </w:p>
    <w:p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eastAsia="Times New Roman" w:hAnsiTheme="minorHAnsi" w:cstheme="minorHAnsi"/>
          <w:sz w:val="19"/>
          <w:szCs w:val="19"/>
        </w:rPr>
        <w:t>Appeal against the centre’s decision not to support a clerical re-check, a review of marking, a review of moderation or an appeal</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656"/>
        <w:gridCol w:w="3145"/>
        <w:gridCol w:w="1791"/>
        <w:gridCol w:w="3786"/>
      </w:tblGrid>
      <w:tr w:rsidR="00973AA9">
        <w:trPr>
          <w:cantSplit/>
          <w:trHeight w:val="596"/>
          <w:tblHeader/>
        </w:trPr>
        <w:tc>
          <w:tcPr>
            <w:tcW w:w="798" w:type="pct"/>
            <w:shd w:val="clear" w:color="auto" w:fill="C6D9F1" w:themeFill="text2" w:themeFillTint="33"/>
            <w:vAlign w:val="center"/>
          </w:tcPr>
          <w:p w:rsidR="00973AA9" w:rsidRDefault="004449F4">
            <w:pPr>
              <w:spacing w:before="120" w:after="120" w:line="276" w:lineRule="auto"/>
              <w:rPr>
                <w:rFonts w:asciiTheme="minorHAnsi" w:eastAsia="Times New Roman" w:hAnsiTheme="minorHAnsi" w:cstheme="minorHAnsi"/>
                <w:color w:val="FFFFFF" w:themeColor="background1"/>
                <w:sz w:val="19"/>
                <w:szCs w:val="19"/>
              </w:rPr>
            </w:pPr>
            <w:r>
              <w:rPr>
                <w:rFonts w:asciiTheme="minorHAnsi" w:eastAsia="Times New Roman" w:hAnsiTheme="minorHAnsi" w:cstheme="minorHAnsi"/>
                <w:sz w:val="19"/>
                <w:szCs w:val="19"/>
              </w:rPr>
              <w:t>Name of appellant</w:t>
            </w:r>
          </w:p>
        </w:tc>
        <w:tc>
          <w:tcPr>
            <w:tcW w:w="1515" w:type="pct"/>
            <w:shd w:val="clear" w:color="auto" w:fill="auto"/>
            <w:vAlign w:val="center"/>
          </w:tcPr>
          <w:p w:rsidR="00973AA9" w:rsidRDefault="00973AA9">
            <w:pPr>
              <w:spacing w:before="120" w:after="120" w:line="276" w:lineRule="auto"/>
              <w:rPr>
                <w:rFonts w:asciiTheme="minorHAnsi" w:eastAsia="Times New Roman" w:hAnsiTheme="minorHAnsi" w:cstheme="minorHAnsi"/>
                <w:color w:val="FFFFFF" w:themeColor="background1"/>
                <w:sz w:val="19"/>
                <w:szCs w:val="19"/>
              </w:rPr>
            </w:pPr>
          </w:p>
        </w:tc>
        <w:tc>
          <w:tcPr>
            <w:tcW w:w="863" w:type="pct"/>
            <w:shd w:val="clear" w:color="auto" w:fill="C6D9F1" w:themeFill="text2" w:themeFillTint="33"/>
            <w:vAlign w:val="center"/>
          </w:tcPr>
          <w:p w:rsidR="00973AA9" w:rsidRDefault="004449F4">
            <w:pPr>
              <w:spacing w:before="120" w:after="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Candidate name</w:t>
            </w:r>
          </w:p>
          <w:p w:rsidR="00973AA9" w:rsidRDefault="004449F4">
            <w:pPr>
              <w:spacing w:after="0" w:line="276" w:lineRule="auto"/>
              <w:rPr>
                <w:rFonts w:asciiTheme="minorHAnsi" w:eastAsia="Times New Roman" w:hAnsiTheme="minorHAnsi" w:cstheme="minorHAnsi"/>
                <w:color w:val="FFFFFF" w:themeColor="background1"/>
                <w:sz w:val="19"/>
                <w:szCs w:val="19"/>
              </w:rPr>
            </w:pPr>
            <w:r>
              <w:rPr>
                <w:rFonts w:asciiTheme="minorHAnsi" w:eastAsia="Times New Roman" w:hAnsiTheme="minorHAnsi" w:cstheme="minorHAnsi"/>
                <w:sz w:val="19"/>
                <w:szCs w:val="19"/>
              </w:rPr>
              <w:t>if different to appellant</w:t>
            </w:r>
          </w:p>
        </w:tc>
        <w:tc>
          <w:tcPr>
            <w:tcW w:w="1825" w:type="pct"/>
            <w:shd w:val="clear" w:color="auto" w:fill="auto"/>
            <w:vAlign w:val="center"/>
          </w:tcPr>
          <w:p w:rsidR="00973AA9" w:rsidRDefault="00973AA9">
            <w:pPr>
              <w:spacing w:before="120" w:after="120" w:line="276" w:lineRule="auto"/>
              <w:rPr>
                <w:rFonts w:asciiTheme="minorHAnsi" w:eastAsia="Times New Roman" w:hAnsiTheme="minorHAnsi" w:cstheme="minorHAnsi"/>
                <w:color w:val="FFFFFF" w:themeColor="background1"/>
                <w:sz w:val="19"/>
                <w:szCs w:val="19"/>
              </w:rPr>
            </w:pPr>
          </w:p>
        </w:tc>
      </w:tr>
      <w:tr w:rsidR="00973AA9">
        <w:trPr>
          <w:trHeight w:val="447"/>
          <w:tblHeader/>
        </w:trPr>
        <w:tc>
          <w:tcPr>
            <w:tcW w:w="798" w:type="pct"/>
            <w:shd w:val="clear" w:color="auto" w:fill="F2F2F2" w:themeFill="background1" w:themeFillShade="F2"/>
            <w:vAlign w:val="center"/>
          </w:tcPr>
          <w:p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Awarding body</w:t>
            </w:r>
          </w:p>
        </w:tc>
        <w:tc>
          <w:tcPr>
            <w:tcW w:w="1515" w:type="pct"/>
            <w:shd w:val="clear" w:color="auto" w:fill="auto"/>
            <w:vAlign w:val="center"/>
          </w:tcPr>
          <w:p w:rsidR="00973AA9" w:rsidRDefault="00973AA9">
            <w:pPr>
              <w:spacing w:before="120" w:after="120" w:line="276" w:lineRule="auto"/>
              <w:rPr>
                <w:rFonts w:asciiTheme="minorHAnsi" w:eastAsia="Times New Roman" w:hAnsiTheme="minorHAnsi" w:cstheme="minorHAnsi"/>
                <w:b/>
                <w:i/>
                <w:color w:val="BFBFBF" w:themeColor="background1" w:themeShade="BF"/>
                <w:sz w:val="19"/>
                <w:szCs w:val="19"/>
              </w:rPr>
            </w:pPr>
          </w:p>
        </w:tc>
        <w:tc>
          <w:tcPr>
            <w:tcW w:w="863" w:type="pct"/>
            <w:shd w:val="clear" w:color="auto" w:fill="F2F2F2" w:themeFill="background1" w:themeFillShade="F2"/>
            <w:vAlign w:val="center"/>
          </w:tcPr>
          <w:p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Exam paper code</w:t>
            </w:r>
          </w:p>
        </w:tc>
        <w:tc>
          <w:tcPr>
            <w:tcW w:w="1825" w:type="pct"/>
            <w:shd w:val="clear" w:color="auto" w:fill="auto"/>
            <w:vAlign w:val="center"/>
          </w:tcPr>
          <w:p w:rsidR="00973AA9" w:rsidRDefault="00973AA9">
            <w:pPr>
              <w:spacing w:before="120" w:after="120" w:line="276" w:lineRule="auto"/>
              <w:rPr>
                <w:rFonts w:asciiTheme="minorHAnsi" w:eastAsia="Times New Roman" w:hAnsiTheme="minorHAnsi" w:cstheme="minorHAnsi"/>
                <w:i/>
                <w:color w:val="BFBFBF" w:themeColor="background1" w:themeShade="BF"/>
                <w:sz w:val="19"/>
                <w:szCs w:val="19"/>
              </w:rPr>
            </w:pPr>
          </w:p>
        </w:tc>
      </w:tr>
      <w:tr w:rsidR="00973AA9">
        <w:trPr>
          <w:trHeight w:val="340"/>
          <w:tblHeader/>
        </w:trPr>
        <w:tc>
          <w:tcPr>
            <w:tcW w:w="798" w:type="pct"/>
            <w:shd w:val="clear" w:color="auto" w:fill="F2F2F2" w:themeFill="background1" w:themeFillShade="F2"/>
            <w:vAlign w:val="center"/>
          </w:tcPr>
          <w:p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Qualification type</w:t>
            </w:r>
          </w:p>
          <w:p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Subject</w:t>
            </w:r>
          </w:p>
        </w:tc>
        <w:tc>
          <w:tcPr>
            <w:tcW w:w="1515" w:type="pct"/>
            <w:shd w:val="clear" w:color="auto" w:fill="auto"/>
            <w:vAlign w:val="center"/>
          </w:tcPr>
          <w:p w:rsidR="00973AA9" w:rsidRDefault="00973AA9">
            <w:pPr>
              <w:spacing w:before="120" w:after="120" w:line="276" w:lineRule="auto"/>
              <w:rPr>
                <w:rFonts w:asciiTheme="minorHAnsi" w:eastAsia="Times New Roman" w:hAnsiTheme="minorHAnsi" w:cstheme="minorHAnsi"/>
                <w:i/>
                <w:color w:val="BFBFBF" w:themeColor="background1" w:themeShade="BF"/>
                <w:sz w:val="19"/>
                <w:szCs w:val="19"/>
              </w:rPr>
            </w:pPr>
          </w:p>
        </w:tc>
        <w:tc>
          <w:tcPr>
            <w:tcW w:w="863" w:type="pct"/>
            <w:shd w:val="clear" w:color="auto" w:fill="F2F2F2" w:themeFill="background1" w:themeFillShade="F2"/>
            <w:vAlign w:val="center"/>
          </w:tcPr>
          <w:p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Exam paper title</w:t>
            </w:r>
          </w:p>
        </w:tc>
        <w:tc>
          <w:tcPr>
            <w:tcW w:w="1825" w:type="pct"/>
            <w:shd w:val="clear" w:color="auto" w:fill="auto"/>
            <w:vAlign w:val="center"/>
          </w:tcPr>
          <w:p w:rsidR="00973AA9" w:rsidRDefault="00973AA9">
            <w:pPr>
              <w:spacing w:before="120" w:after="120" w:line="276" w:lineRule="auto"/>
              <w:rPr>
                <w:rFonts w:asciiTheme="minorHAnsi" w:eastAsia="Times New Roman" w:hAnsiTheme="minorHAnsi" w:cstheme="minorHAnsi"/>
                <w:sz w:val="19"/>
                <w:szCs w:val="19"/>
              </w:rPr>
            </w:pPr>
          </w:p>
        </w:tc>
      </w:tr>
      <w:tr w:rsidR="00973AA9">
        <w:trPr>
          <w:trHeight w:val="110"/>
          <w:tblHeader/>
        </w:trPr>
        <w:tc>
          <w:tcPr>
            <w:tcW w:w="5000" w:type="pct"/>
            <w:gridSpan w:val="4"/>
            <w:shd w:val="clear" w:color="auto" w:fill="auto"/>
          </w:tcPr>
          <w:p w:rsidR="00973AA9" w:rsidRDefault="004449F4">
            <w:pPr>
              <w:spacing w:before="120" w:after="120" w:line="276" w:lineRule="auto"/>
              <w:jc w:val="both"/>
              <w:rPr>
                <w:rFonts w:asciiTheme="minorHAnsi" w:eastAsia="Times New Roman" w:hAnsiTheme="minorHAnsi" w:cstheme="minorHAnsi"/>
                <w:bCs/>
                <w:sz w:val="19"/>
                <w:szCs w:val="19"/>
              </w:rPr>
            </w:pPr>
            <w:r>
              <w:rPr>
                <w:rFonts w:asciiTheme="minorHAnsi" w:eastAsia="Times New Roman" w:hAnsiTheme="minorHAnsi" w:cstheme="minorHAnsi"/>
                <w:bCs/>
                <w:sz w:val="19"/>
                <w:szCs w:val="19"/>
              </w:rPr>
              <w:t>Please state the grounds for your appeal below:</w:t>
            </w: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973AA9">
            <w:pPr>
              <w:spacing w:before="120" w:after="120" w:line="276" w:lineRule="auto"/>
              <w:jc w:val="both"/>
              <w:rPr>
                <w:rFonts w:asciiTheme="minorHAnsi" w:eastAsia="Times New Roman" w:hAnsiTheme="minorHAnsi" w:cstheme="minorHAnsi"/>
                <w:sz w:val="19"/>
                <w:szCs w:val="19"/>
              </w:rPr>
            </w:pPr>
          </w:p>
          <w:p w:rsidR="00973AA9" w:rsidRDefault="004449F4">
            <w:pPr>
              <w:spacing w:before="120" w:after="0" w:line="276" w:lineRule="auto"/>
              <w:rPr>
                <w:rFonts w:asciiTheme="minorHAnsi" w:hAnsiTheme="minorHAnsi" w:cstheme="minorHAnsi"/>
                <w:iCs/>
                <w:sz w:val="19"/>
                <w:szCs w:val="19"/>
              </w:rPr>
            </w:pPr>
            <w:r>
              <w:rPr>
                <w:rFonts w:asciiTheme="minorHAnsi" w:hAnsiTheme="minorHAnsi" w:cstheme="minorHAnsi"/>
                <w:i/>
                <w:sz w:val="19"/>
                <w:szCs w:val="19"/>
              </w:rPr>
              <w:t xml:space="preserve"> </w:t>
            </w:r>
            <w:r>
              <w:rPr>
                <w:rFonts w:asciiTheme="minorHAnsi" w:hAnsiTheme="minorHAnsi" w:cstheme="minorHAnsi"/>
                <w:iCs/>
                <w:sz w:val="19"/>
                <w:szCs w:val="19"/>
              </w:rPr>
              <w:t>(If applicable, tick below)</w:t>
            </w:r>
          </w:p>
          <w:p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hAnsiTheme="minorHAnsi" w:cstheme="minorHAnsi"/>
                <w:sz w:val="19"/>
                <w:szCs w:val="19"/>
              </w:rPr>
              <w:t xml:space="preserve">Where my appeal is against an internal assessment decision I wish to request a review of the centre’s marking </w:t>
            </w:r>
          </w:p>
          <w:p w:rsidR="00973AA9" w:rsidRDefault="004449F4">
            <w:pPr>
              <w:spacing w:before="120" w:after="60" w:line="276" w:lineRule="auto"/>
              <w:jc w:val="right"/>
              <w:rPr>
                <w:rFonts w:asciiTheme="minorHAnsi" w:eastAsia="Times New Roman" w:hAnsiTheme="minorHAnsi" w:cstheme="minorHAnsi"/>
                <w:iCs/>
                <w:sz w:val="19"/>
                <w:szCs w:val="19"/>
              </w:rPr>
            </w:pPr>
            <w:r>
              <w:rPr>
                <w:rFonts w:asciiTheme="minorHAnsi" w:eastAsia="Times New Roman" w:hAnsiTheme="minorHAnsi" w:cstheme="minorHAnsi"/>
                <w:iCs/>
                <w:sz w:val="19"/>
                <w:szCs w:val="19"/>
              </w:rPr>
              <w:t>If necessary, continue on an additional page if this form is being completed electronically or overleaf if hard copy being completed</w:t>
            </w:r>
          </w:p>
        </w:tc>
      </w:tr>
      <w:tr w:rsidR="00973AA9">
        <w:trPr>
          <w:tblHeader/>
        </w:trPr>
        <w:tc>
          <w:tcPr>
            <w:tcW w:w="5000" w:type="pct"/>
            <w:gridSpan w:val="4"/>
            <w:shd w:val="clear" w:color="auto" w:fill="auto"/>
          </w:tcPr>
          <w:p w:rsidR="00973AA9" w:rsidRDefault="004449F4">
            <w:pPr>
              <w:rPr>
                <w:rFonts w:asciiTheme="minorHAnsi" w:hAnsiTheme="minorHAnsi" w:cstheme="minorHAnsi"/>
                <w:b/>
                <w:sz w:val="19"/>
                <w:szCs w:val="19"/>
              </w:rPr>
            </w:pPr>
            <w:r>
              <w:rPr>
                <w:rFonts w:asciiTheme="minorHAnsi" w:hAnsiTheme="minorHAnsi" w:cstheme="minorHAnsi"/>
                <w:sz w:val="19"/>
                <w:szCs w:val="19"/>
              </w:rPr>
              <w:t>Appellant signature:                                                                                          Date of signature:</w:t>
            </w:r>
          </w:p>
        </w:tc>
      </w:tr>
    </w:tbl>
    <w:p w:rsidR="00973AA9" w:rsidRDefault="004449F4">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This form must be signed, dated and returned to the exams officer on behalf of the head of centre to the timescale indicated in the relevant appeals procedure</w:t>
      </w:r>
    </w:p>
    <w:p w:rsidR="00973AA9" w:rsidRDefault="00973AA9">
      <w:pPr>
        <w:spacing w:before="120" w:after="120" w:line="276" w:lineRule="auto"/>
        <w:jc w:val="center"/>
        <w:rPr>
          <w:rFonts w:asciiTheme="minorHAnsi" w:hAnsiTheme="minorHAnsi" w:cstheme="minorHAnsi"/>
          <w:bCs/>
          <w:sz w:val="19"/>
          <w:szCs w:val="19"/>
        </w:rPr>
      </w:pPr>
    </w:p>
    <w:bookmarkEnd w:id="4"/>
    <w:p w:rsidR="00973AA9" w:rsidRDefault="004449F4">
      <w:pPr>
        <w:spacing w:line="276" w:lineRule="auto"/>
        <w:rPr>
          <w:rFonts w:asciiTheme="minorHAnsi" w:eastAsia="Times New Roman" w:hAnsiTheme="minorHAnsi" w:cstheme="minorHAnsi"/>
          <w:b/>
          <w:color w:val="1F497D" w:themeColor="text2"/>
          <w:sz w:val="23"/>
          <w:szCs w:val="23"/>
        </w:rPr>
      </w:pPr>
      <w:r>
        <w:rPr>
          <w:rFonts w:asciiTheme="minorHAnsi" w:eastAsia="Times New Roman" w:hAnsiTheme="minorHAnsi" w:cstheme="minorHAnsi"/>
          <w:b/>
          <w:color w:val="1F497D" w:themeColor="text2"/>
          <w:sz w:val="23"/>
          <w:szCs w:val="23"/>
        </w:rPr>
        <w:lastRenderedPageBreak/>
        <w:t>Complaints and appeals log</w:t>
      </w:r>
    </w:p>
    <w:p w:rsidR="00973AA9" w:rsidRDefault="004449F4">
      <w:pPr>
        <w:spacing w:line="276" w:lineRule="auto"/>
        <w:jc w:val="both"/>
        <w:rPr>
          <w:rFonts w:asciiTheme="minorHAnsi" w:eastAsia="Times New Roman" w:hAnsiTheme="minorHAnsi" w:cstheme="minorHAnsi"/>
          <w:sz w:val="19"/>
          <w:szCs w:val="19"/>
        </w:rPr>
      </w:pPr>
      <w:r>
        <w:rPr>
          <w:rFonts w:asciiTheme="minorHAnsi" w:eastAsia="Times New Roman" w:hAnsiTheme="minorHAnsi" w:cstheme="minorHAnsi"/>
          <w:sz w:val="19"/>
          <w:szCs w:val="19"/>
        </w:rPr>
        <w:t>On receipt, all complaints/appeals are assigned a reference number and logged. Outcome and outcome date is also recorded.</w:t>
      </w:r>
    </w:p>
    <w:p w:rsidR="00973AA9" w:rsidRDefault="004449F4">
      <w:pPr>
        <w:spacing w:line="276" w:lineRule="auto"/>
        <w:jc w:val="both"/>
        <w:rPr>
          <w:rFonts w:asciiTheme="minorHAnsi" w:hAnsiTheme="minorHAnsi" w:cstheme="minorHAnsi"/>
          <w:sz w:val="19"/>
          <w:szCs w:val="19"/>
        </w:rPr>
      </w:pPr>
      <w:r>
        <w:rPr>
          <w:rFonts w:asciiTheme="minorHAnsi" w:hAnsiTheme="minorHAnsi" w:cstheme="minorHAnsi"/>
          <w:sz w:val="19"/>
          <w:szCs w:val="19"/>
        </w:rPr>
        <w:t>The outcome of any review of the centre’s marking will be made known to the head of centre.  [Insert your centre’s process to confirm how a written record of the review will be kept (as example… A written record of the review will be kept and logged as an appeal, so information can be easily made available to an awarding body upon request.</w:t>
      </w:r>
      <w:r>
        <w:rPr>
          <w:rFonts w:asciiTheme="minorHAnsi" w:eastAsia="Times New Roman" w:hAnsiTheme="minorHAnsi" w:cstheme="minorHAnsi"/>
          <w:sz w:val="19"/>
          <w:szCs w:val="19"/>
        </w:rPr>
        <w:t xml:space="preserve"> The awarding body will be informed if the centre does not accept the outcome of a review – this will be noted on this log.</w:t>
      </w:r>
      <w:r>
        <w:rPr>
          <w:rFonts w:asciiTheme="minorHAnsi" w:hAnsiTheme="minorHAnsi" w:cstheme="minorHAnsi"/>
          <w:sz w:val="19"/>
          <w:szCs w:val="19"/>
        </w:rPr>
        <w:t>]</w:t>
      </w:r>
    </w:p>
    <w:tbl>
      <w:tblPr>
        <w:tblStyle w:val="TableGrid"/>
        <w:tblW w:w="10485" w:type="dxa"/>
        <w:tblLook w:val="04A0" w:firstRow="1" w:lastRow="0" w:firstColumn="1" w:lastColumn="0" w:noHBand="0" w:noVBand="1"/>
      </w:tblPr>
      <w:tblGrid>
        <w:gridCol w:w="948"/>
        <w:gridCol w:w="1599"/>
        <w:gridCol w:w="4124"/>
        <w:gridCol w:w="2255"/>
        <w:gridCol w:w="1559"/>
      </w:tblGrid>
      <w:tr w:rsidR="00973AA9">
        <w:tc>
          <w:tcPr>
            <w:tcW w:w="948" w:type="dxa"/>
            <w:shd w:val="clear" w:color="auto" w:fill="C6D9F1" w:themeFill="text2" w:themeFillTint="33"/>
          </w:tcPr>
          <w:p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Ref No.</w:t>
            </w:r>
          </w:p>
        </w:tc>
        <w:tc>
          <w:tcPr>
            <w:tcW w:w="1599" w:type="dxa"/>
            <w:shd w:val="clear" w:color="auto" w:fill="C6D9F1" w:themeFill="text2" w:themeFillTint="33"/>
          </w:tcPr>
          <w:p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Date received</w:t>
            </w:r>
          </w:p>
        </w:tc>
        <w:tc>
          <w:tcPr>
            <w:tcW w:w="4124" w:type="dxa"/>
            <w:shd w:val="clear" w:color="auto" w:fill="C6D9F1" w:themeFill="text2" w:themeFillTint="33"/>
          </w:tcPr>
          <w:p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Complaint or Appeal</w:t>
            </w:r>
          </w:p>
        </w:tc>
        <w:tc>
          <w:tcPr>
            <w:tcW w:w="2255" w:type="dxa"/>
            <w:shd w:val="clear" w:color="auto" w:fill="C6D9F1" w:themeFill="text2" w:themeFillTint="33"/>
          </w:tcPr>
          <w:p w:rsidR="00973AA9" w:rsidRDefault="004449F4">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Outcome</w:t>
            </w:r>
          </w:p>
        </w:tc>
        <w:tc>
          <w:tcPr>
            <w:tcW w:w="1559" w:type="dxa"/>
            <w:shd w:val="clear" w:color="auto" w:fill="C6D9F1" w:themeFill="text2" w:themeFillTint="33"/>
          </w:tcPr>
          <w:p w:rsidR="00973AA9" w:rsidRDefault="004449F4">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Outcome date</w:t>
            </w: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r w:rsidR="00973AA9">
        <w:tc>
          <w:tcPr>
            <w:tcW w:w="948" w:type="dxa"/>
          </w:tcPr>
          <w:p w:rsidR="00973AA9" w:rsidRDefault="00973AA9">
            <w:pPr>
              <w:spacing w:after="200" w:line="276" w:lineRule="auto"/>
              <w:rPr>
                <w:rFonts w:asciiTheme="minorHAnsi" w:eastAsia="Times New Roman" w:hAnsiTheme="minorHAnsi" w:cstheme="minorHAnsi"/>
                <w:sz w:val="19"/>
                <w:szCs w:val="19"/>
              </w:rPr>
            </w:pPr>
          </w:p>
        </w:tc>
        <w:tc>
          <w:tcPr>
            <w:tcW w:w="1599" w:type="dxa"/>
          </w:tcPr>
          <w:p w:rsidR="00973AA9" w:rsidRDefault="00973AA9">
            <w:pPr>
              <w:spacing w:after="200" w:line="276" w:lineRule="auto"/>
              <w:rPr>
                <w:rFonts w:asciiTheme="minorHAnsi" w:eastAsia="Times New Roman" w:hAnsiTheme="minorHAnsi" w:cstheme="minorHAnsi"/>
                <w:sz w:val="19"/>
                <w:szCs w:val="19"/>
              </w:rPr>
            </w:pPr>
          </w:p>
        </w:tc>
        <w:tc>
          <w:tcPr>
            <w:tcW w:w="4124" w:type="dxa"/>
          </w:tcPr>
          <w:p w:rsidR="00973AA9" w:rsidRDefault="00973AA9">
            <w:pPr>
              <w:spacing w:after="200" w:line="276" w:lineRule="auto"/>
              <w:rPr>
                <w:rFonts w:asciiTheme="minorHAnsi" w:eastAsia="Times New Roman" w:hAnsiTheme="minorHAnsi" w:cstheme="minorHAnsi"/>
                <w:sz w:val="19"/>
                <w:szCs w:val="19"/>
              </w:rPr>
            </w:pPr>
          </w:p>
        </w:tc>
        <w:tc>
          <w:tcPr>
            <w:tcW w:w="2255" w:type="dxa"/>
          </w:tcPr>
          <w:p w:rsidR="00973AA9" w:rsidRDefault="00973AA9">
            <w:pPr>
              <w:spacing w:after="200" w:line="276" w:lineRule="auto"/>
              <w:rPr>
                <w:rFonts w:asciiTheme="minorHAnsi" w:hAnsiTheme="minorHAnsi" w:cstheme="minorHAnsi"/>
                <w:b/>
                <w:bCs/>
                <w:sz w:val="19"/>
                <w:szCs w:val="19"/>
              </w:rPr>
            </w:pPr>
          </w:p>
        </w:tc>
        <w:tc>
          <w:tcPr>
            <w:tcW w:w="1559" w:type="dxa"/>
          </w:tcPr>
          <w:p w:rsidR="00973AA9" w:rsidRDefault="00973AA9">
            <w:pPr>
              <w:spacing w:after="200" w:line="276" w:lineRule="auto"/>
              <w:rPr>
                <w:rFonts w:asciiTheme="minorHAnsi" w:hAnsiTheme="minorHAnsi" w:cstheme="minorHAnsi"/>
                <w:b/>
                <w:bCs/>
                <w:sz w:val="19"/>
                <w:szCs w:val="19"/>
              </w:rPr>
            </w:pPr>
          </w:p>
        </w:tc>
      </w:tr>
    </w:tbl>
    <w:p w:rsidR="00973AA9" w:rsidRDefault="00973AA9">
      <w:pPr>
        <w:spacing w:after="120" w:line="276" w:lineRule="auto"/>
        <w:rPr>
          <w:rFonts w:cs="Arial"/>
          <w:color w:val="333333"/>
        </w:rPr>
      </w:pPr>
    </w:p>
    <w:sectPr w:rsidR="00973AA9">
      <w:footerReference w:type="default" r:id="rId9"/>
      <w:headerReference w:type="first" r:id="rId10"/>
      <w:footerReference w:type="first" r:id="rId11"/>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C2" w:rsidRDefault="00BD3FC2">
      <w:pPr>
        <w:spacing w:after="0"/>
      </w:pPr>
      <w:r>
        <w:separator/>
      </w:r>
    </w:p>
  </w:endnote>
  <w:endnote w:type="continuationSeparator" w:id="0">
    <w:p w:rsidR="00BD3FC2" w:rsidRDefault="00BD3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C2" w:rsidRDefault="00BD3FC2">
    <w:pPr>
      <w:pStyle w:val="Footer"/>
      <w:jc w:val="right"/>
      <w:rPr>
        <w:rFonts w:cs="Arial"/>
        <w:sz w:val="20"/>
        <w:szCs w:val="20"/>
      </w:rPr>
    </w:pPr>
  </w:p>
  <w:p w:rsidR="00BD3FC2" w:rsidRDefault="00BD3FC2">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02522C">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C2" w:rsidRDefault="00BD3FC2">
    <w:pPr>
      <w:pStyle w:val="Default"/>
      <w:rPr>
        <w:rFonts w:ascii="Rockwell" w:hAnsi="Rockwell"/>
        <w:color w:val="003399"/>
        <w:sz w:val="18"/>
        <w:szCs w:val="18"/>
      </w:rPr>
    </w:pPr>
  </w:p>
  <w:p w:rsidR="00BD3FC2" w:rsidRDefault="00BD3FC2">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template </w:t>
    </w:r>
    <w:r>
      <w:rPr>
        <w:rFonts w:ascii="Rockwell" w:hAnsi="Rockwell"/>
        <w:noProof/>
        <w:sz w:val="18"/>
        <w:szCs w:val="18"/>
      </w:rPr>
      <w:t xml:space="preserve">(2020/21)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C2" w:rsidRDefault="00BD3FC2">
      <w:pPr>
        <w:spacing w:after="0"/>
      </w:pPr>
      <w:r>
        <w:separator/>
      </w:r>
    </w:p>
  </w:footnote>
  <w:footnote w:type="continuationSeparator" w:id="0">
    <w:p w:rsidR="00BD3FC2" w:rsidRDefault="00BD3F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C2" w:rsidRDefault="00BD3FC2">
    <w:pPr>
      <w:pStyle w:val="Header"/>
    </w:pPr>
    <w:r>
      <w:rPr>
        <w:noProof/>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F185B"/>
    <w:multiLevelType w:val="hybridMultilevel"/>
    <w:tmpl w:val="294E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91127"/>
    <w:multiLevelType w:val="hybridMultilevel"/>
    <w:tmpl w:val="05E0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859D0"/>
    <w:multiLevelType w:val="hybridMultilevel"/>
    <w:tmpl w:val="B768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D29B4"/>
    <w:multiLevelType w:val="hybridMultilevel"/>
    <w:tmpl w:val="40C4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D4C8E"/>
    <w:multiLevelType w:val="hybridMultilevel"/>
    <w:tmpl w:val="F5F0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323CA"/>
    <w:multiLevelType w:val="hybridMultilevel"/>
    <w:tmpl w:val="63A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65A29"/>
    <w:multiLevelType w:val="hybridMultilevel"/>
    <w:tmpl w:val="46D6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0"/>
  </w:num>
  <w:num w:numId="4">
    <w:abstractNumId w:val="23"/>
  </w:num>
  <w:num w:numId="5">
    <w:abstractNumId w:val="29"/>
  </w:num>
  <w:num w:numId="6">
    <w:abstractNumId w:val="22"/>
  </w:num>
  <w:num w:numId="7">
    <w:abstractNumId w:val="14"/>
  </w:num>
  <w:num w:numId="8">
    <w:abstractNumId w:val="16"/>
  </w:num>
  <w:num w:numId="9">
    <w:abstractNumId w:val="5"/>
  </w:num>
  <w:num w:numId="10">
    <w:abstractNumId w:val="1"/>
  </w:num>
  <w:num w:numId="11">
    <w:abstractNumId w:val="4"/>
  </w:num>
  <w:num w:numId="12">
    <w:abstractNumId w:val="17"/>
  </w:num>
  <w:num w:numId="13">
    <w:abstractNumId w:val="28"/>
  </w:num>
  <w:num w:numId="14">
    <w:abstractNumId w:val="26"/>
  </w:num>
  <w:num w:numId="15">
    <w:abstractNumId w:val="0"/>
  </w:num>
  <w:num w:numId="16">
    <w:abstractNumId w:val="31"/>
  </w:num>
  <w:num w:numId="17">
    <w:abstractNumId w:val="21"/>
  </w:num>
  <w:num w:numId="18">
    <w:abstractNumId w:val="8"/>
  </w:num>
  <w:num w:numId="19">
    <w:abstractNumId w:val="15"/>
  </w:num>
  <w:num w:numId="20">
    <w:abstractNumId w:val="2"/>
  </w:num>
  <w:num w:numId="21">
    <w:abstractNumId w:val="19"/>
  </w:num>
  <w:num w:numId="22">
    <w:abstractNumId w:val="10"/>
  </w:num>
  <w:num w:numId="23">
    <w:abstractNumId w:val="7"/>
  </w:num>
  <w:num w:numId="24">
    <w:abstractNumId w:val="3"/>
  </w:num>
  <w:num w:numId="25">
    <w:abstractNumId w:val="24"/>
  </w:num>
  <w:num w:numId="26">
    <w:abstractNumId w:val="11"/>
  </w:num>
  <w:num w:numId="27">
    <w:abstractNumId w:val="18"/>
  </w:num>
  <w:num w:numId="28">
    <w:abstractNumId w:val="12"/>
  </w:num>
  <w:num w:numId="29">
    <w:abstractNumId w:val="9"/>
  </w:num>
  <w:num w:numId="30">
    <w:abstractNumId w:val="20"/>
  </w:num>
  <w:num w:numId="31">
    <w:abstractNumId w:val="13"/>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A9"/>
    <w:rsid w:val="0002522C"/>
    <w:rsid w:val="000F49E2"/>
    <w:rsid w:val="00122FB3"/>
    <w:rsid w:val="00153D49"/>
    <w:rsid w:val="00202FFE"/>
    <w:rsid w:val="002F5E11"/>
    <w:rsid w:val="00350991"/>
    <w:rsid w:val="003D114F"/>
    <w:rsid w:val="004013D9"/>
    <w:rsid w:val="004449F4"/>
    <w:rsid w:val="00470361"/>
    <w:rsid w:val="0063764E"/>
    <w:rsid w:val="00681DD1"/>
    <w:rsid w:val="00687ED9"/>
    <w:rsid w:val="007F0C70"/>
    <w:rsid w:val="00827E13"/>
    <w:rsid w:val="00917CF0"/>
    <w:rsid w:val="00973AA9"/>
    <w:rsid w:val="00A16866"/>
    <w:rsid w:val="00A755D9"/>
    <w:rsid w:val="00BD3FC2"/>
    <w:rsid w:val="00C006D5"/>
    <w:rsid w:val="00D7081A"/>
    <w:rsid w:val="00D931F8"/>
    <w:rsid w:val="00E26EF1"/>
    <w:rsid w:val="00E57295"/>
    <w:rsid w:val="00EA36DC"/>
    <w:rsid w:val="00EB14F5"/>
    <w:rsid w:val="00F765D6"/>
    <w:rsid w:val="00FD43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68DDA"/>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customStyle="1" w:styleId="DCAHeader">
    <w:name w:val="DCA_Header"/>
    <w:basedOn w:val="Normal"/>
    <w:qFormat/>
    <w:pPr>
      <w:spacing w:after="120" w:line="312" w:lineRule="exact"/>
    </w:pPr>
    <w:rPr>
      <w:rFonts w:asciiTheme="minorHAnsi" w:hAnsiTheme="minorHAnsi"/>
      <w:b/>
      <w:color w:val="174489"/>
      <w:sz w:val="27"/>
      <w:szCs w:val="27"/>
      <w:lang w:eastAsia="en-US"/>
    </w:rPr>
  </w:style>
  <w:style w:type="paragraph" w:customStyle="1" w:styleId="DCATableSubHeader">
    <w:name w:val="DCA_Table_SubHeader"/>
    <w:basedOn w:val="Normal"/>
    <w:qFormat/>
    <w:pPr>
      <w:spacing w:before="40" w:after="120" w:line="228" w:lineRule="exact"/>
    </w:pPr>
    <w:rPr>
      <w:rFonts w:asciiTheme="minorHAnsi" w:hAnsiTheme="minorHAnsi"/>
      <w:b/>
      <w:sz w:val="19"/>
      <w:szCs w:val="19"/>
      <w:lang w:eastAsia="en-US"/>
    </w:rPr>
  </w:style>
  <w:style w:type="paragraph" w:customStyle="1" w:styleId="DCATableColHeader">
    <w:name w:val="DCA_TableColHeader"/>
    <w:basedOn w:val="Normal"/>
    <w:qFormat/>
    <w:pPr>
      <w:spacing w:before="80"/>
    </w:pPr>
    <w:rPr>
      <w:rFonts w:asciiTheme="minorHAnsi" w:hAnsiTheme="minorHAnsi"/>
      <w:b/>
      <w:noProof/>
      <w:color w:val="174489"/>
      <w:sz w:val="19"/>
      <w:szCs w:val="19"/>
    </w:rPr>
  </w:style>
  <w:style w:type="paragraph" w:customStyle="1" w:styleId="DCATableRowHeader">
    <w:name w:val="DCA_TableRowHeader"/>
    <w:basedOn w:val="Normal"/>
    <w:qFormat/>
    <w:pPr>
      <w:spacing w:before="80"/>
    </w:pPr>
    <w:rPr>
      <w:rFonts w:asciiTheme="minorHAnsi" w:hAnsiTheme="minorHAnsi"/>
      <w:b/>
      <w:noProof/>
      <w:color w:val="174489"/>
      <w:sz w:val="19"/>
      <w:szCs w:val="19"/>
    </w:rPr>
  </w:style>
  <w:style w:type="paragraph" w:customStyle="1" w:styleId="DCATableText">
    <w:name w:val="DCA_TableText"/>
    <w:basedOn w:val="Normal"/>
    <w:qFormat/>
    <w:pPr>
      <w:spacing w:before="80" w:line="228" w:lineRule="exact"/>
      <w:jc w:val="both"/>
    </w:pPr>
    <w:rPr>
      <w:rFonts w:asciiTheme="minorHAnsi" w:hAnsi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C43F6-5A75-4CC3-B675-9A3169E1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Hayley Crossland - Staff - DCA</cp:lastModifiedBy>
  <cp:revision>18</cp:revision>
  <cp:lastPrinted>2020-10-12T11:50:00Z</cp:lastPrinted>
  <dcterms:created xsi:type="dcterms:W3CDTF">2022-10-10T10:26:00Z</dcterms:created>
  <dcterms:modified xsi:type="dcterms:W3CDTF">2022-10-14T13:36:00Z</dcterms:modified>
</cp:coreProperties>
</file>